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27ACC6F" w:rsidR="0049405C" w:rsidRPr="00C24D79" w:rsidRDefault="00FE3DCE" w:rsidP="00FE3DC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E3DCE">
              <w:rPr>
                <w:rFonts w:ascii="等线" w:eastAsia="等线" w:hAnsi="Times New Roman"/>
                <w:b/>
                <w:color w:val="000000"/>
                <w:sz w:val="48"/>
              </w:rPr>
              <w:t>JANE CHEN</w:t>
            </w:r>
            <w:bookmarkEnd w:id="0"/>
          </w:p>
          <w:p w14:paraId="706EB16B" w14:textId="7C01832E" w:rsidR="0049405C" w:rsidRPr="00C24D79" w:rsidRDefault="00FE3DCE" w:rsidP="00FE3DC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E3DC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E3DC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E3DC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1127924" w:rsidR="0049405C" w:rsidRPr="00C24D79" w:rsidRDefault="00FE3DCE" w:rsidP="00FE3DC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E3DCE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1CBE369E" w:rsidR="0049405C" w:rsidRPr="00C24D79" w:rsidRDefault="00FE3DCE" w:rsidP="00FE3DC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E3DCE">
              <w:rPr>
                <w:rFonts w:ascii="等线" w:eastAsia="等线" w:hAnsi="Times New Roman"/>
                <w:color w:val="000000"/>
              </w:rPr>
              <w:t>jie.chen@fangdalaw.com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3E01E7D" w:rsidR="0049405C" w:rsidRPr="00C24D79" w:rsidRDefault="00FE3DC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7FE87D7" wp14:editId="05AF2B9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8420B63" w:rsidR="009465FB" w:rsidRPr="00C24D79" w:rsidRDefault="00FE3DC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E3DCE">
              <w:rPr>
                <w:rFonts w:ascii="等线" w:eastAsia="等线" w:hAnsi="Times New Roman"/>
                <w:color w:val="000000"/>
                <w:szCs w:val="21"/>
              </w:rPr>
              <w:t>MS. CHEN IS A CORPORATE PARTNER IN OUR SHANGHAI OFFICE, SPECIALIZING IN CAPITAL MARKETS, PRIVATE EQUITY, AND CORPORATE AND M&amp;A.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FD7E97E" w14:textId="77777777" w:rsidR="00FE3DC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76846B7" w14:textId="77777777" w:rsidR="00FE3DCE" w:rsidRDefault="00FE3DCE" w:rsidP="00FE3D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3DCE">
        <w:rPr>
          <w:rFonts w:ascii="等线" w:eastAsia="等线" w:hAnsi="等线"/>
          <w:b/>
          <w:sz w:val="24"/>
        </w:rPr>
        <w:t>REPRESENTATIVE MATTERS AND CASES</w:t>
      </w:r>
    </w:p>
    <w:p w14:paraId="201EEA1A" w14:textId="77777777" w:rsidR="00FE3DCE" w:rsidRDefault="00FE3DCE" w:rsidP="00FE3DCE">
      <w:pPr>
        <w:pStyle w:val="af5"/>
        <w:spacing w:before="12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Domestic Financing</w:t>
      </w:r>
    </w:p>
    <w:p w14:paraId="42C1AAAA" w14:textId="77777777" w:rsidR="00FE3DCE" w:rsidRDefault="00FE3DCE" w:rsidP="00FE3DC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Lead Show (603272.SH) as issuer</w:t>
      </w:r>
      <w:r w:rsidRPr="00FE3DCE">
        <w:rPr>
          <w:rFonts w:ascii="等线" w:eastAsia="等线" w:hAnsi="Times New Roman"/>
          <w:color w:val="000000"/>
        </w:rPr>
        <w:t>’</w:t>
      </w:r>
      <w:r w:rsidRPr="00FE3DCE">
        <w:rPr>
          <w:rFonts w:ascii="等线" w:eastAsia="等线" w:hAnsi="Times New Roman"/>
          <w:color w:val="000000"/>
        </w:rPr>
        <w:t>s counsel in its A-share IPO</w:t>
      </w:r>
    </w:p>
    <w:p w14:paraId="6BA0E414" w14:textId="77777777" w:rsidR="00FE3DCE" w:rsidRDefault="00FE3DCE" w:rsidP="00FE3DC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Huaertai (001217.SZ) as issuer</w:t>
      </w:r>
      <w:r w:rsidRPr="00FE3DCE">
        <w:rPr>
          <w:rFonts w:ascii="等线" w:eastAsia="等线" w:hAnsi="Times New Roman"/>
          <w:color w:val="000000"/>
        </w:rPr>
        <w:t>’</w:t>
      </w:r>
      <w:r w:rsidRPr="00FE3DCE">
        <w:rPr>
          <w:rFonts w:ascii="等线" w:eastAsia="等线" w:hAnsi="Times New Roman"/>
          <w:color w:val="000000"/>
        </w:rPr>
        <w:t>s counsel in its A-share IPO</w:t>
      </w:r>
    </w:p>
    <w:p w14:paraId="572EBE48" w14:textId="77777777" w:rsidR="00FE3DCE" w:rsidRDefault="00FE3DCE" w:rsidP="00FE3DC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Chenguang New Materials (605399.SH) as issuer</w:t>
      </w:r>
      <w:r w:rsidRPr="00FE3DCE">
        <w:rPr>
          <w:rFonts w:ascii="等线" w:eastAsia="等线" w:hAnsi="Times New Roman"/>
          <w:color w:val="000000"/>
        </w:rPr>
        <w:t>’</w:t>
      </w:r>
      <w:r w:rsidRPr="00FE3DCE">
        <w:rPr>
          <w:rFonts w:ascii="等线" w:eastAsia="等线" w:hAnsi="Times New Roman"/>
          <w:color w:val="000000"/>
        </w:rPr>
        <w:t>s counsel in its A-share IPO</w:t>
      </w:r>
    </w:p>
    <w:p w14:paraId="6E14E2D4" w14:textId="77777777" w:rsidR="00FE3DCE" w:rsidRDefault="00FE3DCE" w:rsidP="00FE3DC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Sanyou Medical (688085.SH) as issuer</w:t>
      </w:r>
      <w:r w:rsidRPr="00FE3DCE">
        <w:rPr>
          <w:rFonts w:ascii="等线" w:eastAsia="等线" w:hAnsi="Times New Roman"/>
          <w:color w:val="000000"/>
        </w:rPr>
        <w:t>’</w:t>
      </w:r>
      <w:r w:rsidRPr="00FE3DCE">
        <w:rPr>
          <w:rFonts w:ascii="等线" w:eastAsia="等线" w:hAnsi="Times New Roman"/>
          <w:color w:val="000000"/>
        </w:rPr>
        <w:t>s counsel in its A-share IPO</w:t>
      </w:r>
    </w:p>
    <w:p w14:paraId="3C8FDCA6" w14:textId="77777777" w:rsidR="00FE3DCE" w:rsidRDefault="00FE3DCE" w:rsidP="00FE3DC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Hainan Mining (601969.SH) as issuer</w:t>
      </w:r>
      <w:r w:rsidRPr="00FE3DCE">
        <w:rPr>
          <w:rFonts w:ascii="等线" w:eastAsia="等线" w:hAnsi="Times New Roman"/>
          <w:color w:val="000000"/>
        </w:rPr>
        <w:t>’</w:t>
      </w:r>
      <w:r w:rsidRPr="00FE3DCE">
        <w:rPr>
          <w:rFonts w:ascii="等线" w:eastAsia="等线" w:hAnsi="Times New Roman"/>
          <w:color w:val="000000"/>
        </w:rPr>
        <w:t>s counsel in its A-share IPO</w:t>
      </w:r>
    </w:p>
    <w:p w14:paraId="3B13F85C" w14:textId="77777777" w:rsidR="00FE3DCE" w:rsidRDefault="00FE3DCE" w:rsidP="00FE3DC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Universal Scientific (601231.SH) as issuer</w:t>
      </w:r>
      <w:r w:rsidRPr="00FE3DCE">
        <w:rPr>
          <w:rFonts w:ascii="等线" w:eastAsia="等线" w:hAnsi="Times New Roman"/>
          <w:color w:val="000000"/>
        </w:rPr>
        <w:t>’</w:t>
      </w:r>
      <w:r w:rsidRPr="00FE3DCE">
        <w:rPr>
          <w:rFonts w:ascii="等线" w:eastAsia="等线" w:hAnsi="Times New Roman"/>
          <w:color w:val="000000"/>
        </w:rPr>
        <w:t>s counsel in its A-share IPO</w:t>
      </w:r>
    </w:p>
    <w:p w14:paraId="2D68A9B2" w14:textId="77777777" w:rsidR="00FE3DCE" w:rsidRDefault="00FE3DCE" w:rsidP="00FE3DC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WUS Printed (002463.SZ) as issuer</w:t>
      </w:r>
      <w:r w:rsidRPr="00FE3DCE">
        <w:rPr>
          <w:rFonts w:ascii="等线" w:eastAsia="等线" w:hAnsi="Times New Roman"/>
          <w:color w:val="000000"/>
        </w:rPr>
        <w:t>’</w:t>
      </w:r>
      <w:r w:rsidRPr="00FE3DCE">
        <w:rPr>
          <w:rFonts w:ascii="等线" w:eastAsia="等线" w:hAnsi="Times New Roman"/>
          <w:color w:val="000000"/>
        </w:rPr>
        <w:t>s counsel in its A-share IPO</w:t>
      </w:r>
    </w:p>
    <w:p w14:paraId="6B6F6D5E" w14:textId="77777777" w:rsidR="00FE3DCE" w:rsidRDefault="00FE3DCE" w:rsidP="00FE3DC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MicuRx Pharmaceutical (Registered) as issuer</w:t>
      </w:r>
      <w:r w:rsidRPr="00FE3DCE">
        <w:rPr>
          <w:rFonts w:ascii="等线" w:eastAsia="等线" w:hAnsi="Times New Roman"/>
          <w:color w:val="000000"/>
        </w:rPr>
        <w:t>’</w:t>
      </w:r>
      <w:r w:rsidRPr="00FE3DCE">
        <w:rPr>
          <w:rFonts w:ascii="等线" w:eastAsia="等线" w:hAnsi="Times New Roman"/>
          <w:color w:val="000000"/>
        </w:rPr>
        <w:t>s counsel in its A-share IPO</w:t>
      </w:r>
    </w:p>
    <w:p w14:paraId="1C9C1B83" w14:textId="77777777" w:rsidR="00FE3DCE" w:rsidRDefault="00FE3DCE" w:rsidP="00FE3DC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Universal Scientific (601231.SH) as issuer</w:t>
      </w:r>
      <w:r w:rsidRPr="00FE3DCE">
        <w:rPr>
          <w:rFonts w:ascii="等线" w:eastAsia="等线" w:hAnsi="Times New Roman"/>
          <w:color w:val="000000"/>
        </w:rPr>
        <w:t>’</w:t>
      </w:r>
      <w:r w:rsidRPr="00FE3DCE">
        <w:rPr>
          <w:rFonts w:ascii="等线" w:eastAsia="等线" w:hAnsi="Times New Roman"/>
          <w:color w:val="000000"/>
        </w:rPr>
        <w:t>s counsel in its private share placement</w:t>
      </w:r>
    </w:p>
    <w:p w14:paraId="7461DD62" w14:textId="77777777" w:rsidR="00FE3DCE" w:rsidRDefault="00FE3DCE" w:rsidP="00FE3DC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Yunnan Salt and Chemical (002053.SZ) as issuer</w:t>
      </w:r>
      <w:r w:rsidRPr="00FE3DCE">
        <w:rPr>
          <w:rFonts w:ascii="等线" w:eastAsia="等线" w:hAnsi="Times New Roman"/>
          <w:color w:val="000000"/>
        </w:rPr>
        <w:t>’</w:t>
      </w:r>
      <w:r w:rsidRPr="00FE3DCE">
        <w:rPr>
          <w:rFonts w:ascii="等线" w:eastAsia="等线" w:hAnsi="Times New Roman"/>
          <w:color w:val="000000"/>
        </w:rPr>
        <w:t>s counsel in its private share placement</w:t>
      </w:r>
    </w:p>
    <w:p w14:paraId="2F190892" w14:textId="77777777" w:rsidR="00FE3DCE" w:rsidRDefault="00FE3DCE" w:rsidP="00FE3DC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Anjoy Foods (603345.SZ) as issuer</w:t>
      </w:r>
      <w:r w:rsidRPr="00FE3DCE">
        <w:rPr>
          <w:rFonts w:ascii="等线" w:eastAsia="等线" w:hAnsi="Times New Roman"/>
          <w:color w:val="000000"/>
        </w:rPr>
        <w:t>’</w:t>
      </w:r>
      <w:r w:rsidRPr="00FE3DCE">
        <w:rPr>
          <w:rFonts w:ascii="等线" w:eastAsia="等线" w:hAnsi="Times New Roman"/>
          <w:color w:val="000000"/>
        </w:rPr>
        <w:t>s counsel in its convertible debt projects</w:t>
      </w:r>
    </w:p>
    <w:p w14:paraId="684D4808" w14:textId="77777777" w:rsidR="00FE3DCE" w:rsidRDefault="00FE3DCE" w:rsidP="00FE3DC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NovelBeam (688677.SH) as underwriter</w:t>
      </w:r>
      <w:r w:rsidRPr="00FE3DCE">
        <w:rPr>
          <w:rFonts w:ascii="等线" w:eastAsia="等线" w:hAnsi="Times New Roman"/>
          <w:color w:val="000000"/>
        </w:rPr>
        <w:t>’</w:t>
      </w:r>
      <w:r w:rsidRPr="00FE3DCE">
        <w:rPr>
          <w:rFonts w:ascii="等线" w:eastAsia="等线" w:hAnsi="Times New Roman"/>
          <w:color w:val="000000"/>
        </w:rPr>
        <w:t>s counsel in its A-share IPO</w:t>
      </w:r>
    </w:p>
    <w:p w14:paraId="0D673179" w14:textId="77777777" w:rsidR="00FE3DCE" w:rsidRDefault="00FE3DCE" w:rsidP="00FE3DC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Endovascular (688016.SH) as underwriter</w:t>
      </w:r>
      <w:r w:rsidRPr="00FE3DCE">
        <w:rPr>
          <w:rFonts w:ascii="等线" w:eastAsia="等线" w:hAnsi="Times New Roman"/>
          <w:color w:val="000000"/>
        </w:rPr>
        <w:t>’</w:t>
      </w:r>
      <w:r w:rsidRPr="00FE3DCE">
        <w:rPr>
          <w:rFonts w:ascii="等线" w:eastAsia="等线" w:hAnsi="Times New Roman"/>
          <w:color w:val="000000"/>
        </w:rPr>
        <w:t>s counsel in its A-share IPO</w:t>
      </w:r>
    </w:p>
    <w:p w14:paraId="2D116D1A" w14:textId="77777777" w:rsidR="00FE3DCE" w:rsidRDefault="00FE3DCE" w:rsidP="00FE3DC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HCFA (688320.SH) as underwriter</w:t>
      </w:r>
      <w:r w:rsidRPr="00FE3DCE">
        <w:rPr>
          <w:rFonts w:ascii="等线" w:eastAsia="等线" w:hAnsi="Times New Roman"/>
          <w:color w:val="000000"/>
        </w:rPr>
        <w:t>’</w:t>
      </w:r>
      <w:r w:rsidRPr="00FE3DCE">
        <w:rPr>
          <w:rFonts w:ascii="等线" w:eastAsia="等线" w:hAnsi="Times New Roman"/>
          <w:color w:val="000000"/>
        </w:rPr>
        <w:t>s counsel in its A-share IPO</w:t>
      </w:r>
    </w:p>
    <w:p w14:paraId="7522AAC3" w14:textId="77777777" w:rsidR="00FE3DCE" w:rsidRDefault="00FE3DCE" w:rsidP="00FE3DCE">
      <w:pPr>
        <w:pStyle w:val="af5"/>
        <w:spacing w:before="12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Overseas Financing</w:t>
      </w:r>
    </w:p>
    <w:p w14:paraId="1F24CF4B" w14:textId="77777777" w:rsidR="00FE3DCE" w:rsidRDefault="00FE3DCE" w:rsidP="00FE3DC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Tuya Smart (NYSE: TUYA) as PRC counsel in its NYSE IPO</w:t>
      </w:r>
    </w:p>
    <w:p w14:paraId="663AC364" w14:textId="77777777" w:rsidR="00FE3DCE" w:rsidRDefault="00FE3DCE" w:rsidP="00FE3DC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Junshi Bio (1877.HK) as PRC counsel in its H-share IPO and its H-share follow-on offerings</w:t>
      </w:r>
    </w:p>
    <w:p w14:paraId="4CC68B26" w14:textId="77777777" w:rsidR="00FE3DCE" w:rsidRDefault="00FE3DCE" w:rsidP="00FE3DC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Fosun Pharma (2196.HK) as PRC counsel in its H-share IPO and its H-share follow-on offerings</w:t>
      </w:r>
    </w:p>
    <w:p w14:paraId="24F434A2" w14:textId="77777777" w:rsidR="00FE3DCE" w:rsidRDefault="00FE3DCE" w:rsidP="00FE3DC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Sinopharm (1099.HK) as PRC counsel in its H-share IPO and its H-share follow-on offerings</w:t>
      </w:r>
    </w:p>
    <w:p w14:paraId="1E14E3AD" w14:textId="77777777" w:rsidR="00FE3DCE" w:rsidRDefault="00FE3DCE" w:rsidP="00FE3DC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Gland Pharma (NSE: GLAD) as PRC counsel in its spin-off from Fosun Pharma and its listing in India</w:t>
      </w:r>
    </w:p>
    <w:p w14:paraId="21F552D1" w14:textId="77777777" w:rsidR="00FE3DCE" w:rsidRDefault="00FE3DCE" w:rsidP="00FE3DC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Wuxi Apptec (603259.SH and 2359.HK) as underwriters' counsel in its A-share and H-share offering</w:t>
      </w:r>
    </w:p>
    <w:p w14:paraId="2DAB3B9F" w14:textId="77777777" w:rsidR="00FE3DCE" w:rsidRDefault="00FE3DCE" w:rsidP="00FE3DC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Henlius (2696.HK) as underwriters' counsel in its H-share IPO</w:t>
      </w:r>
    </w:p>
    <w:p w14:paraId="59BEF16E" w14:textId="77777777" w:rsidR="00FE3DCE" w:rsidRDefault="00FE3DCE" w:rsidP="00FE3DC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Acted for Ark Bio as underwriters' counsel in its H-share IPO</w:t>
      </w:r>
    </w:p>
    <w:p w14:paraId="4727262B" w14:textId="77777777" w:rsidR="00FE3DCE" w:rsidRDefault="00FE3DCE" w:rsidP="00FE3DCE">
      <w:pPr>
        <w:pStyle w:val="af5"/>
        <w:spacing w:before="12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Others</w:t>
      </w:r>
    </w:p>
    <w:p w14:paraId="00D89469" w14:textId="77777777" w:rsidR="00FE3DCE" w:rsidRDefault="00FE3DCE" w:rsidP="00FE3DC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Advised Endovascular, Sanyou Medical, Junshi Bio, Anjoy Foods, Techmation, Haid Group, WUS, and Fosun Pharma on general corporate matters</w:t>
      </w:r>
    </w:p>
    <w:p w14:paraId="3586CC60" w14:textId="77777777" w:rsidR="00FE3DCE" w:rsidRDefault="00FE3DCE" w:rsidP="00FE3DC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CSC Shipping in issuing shares and paying cash to purchase Boya Technology and in raising matching funds</w:t>
      </w:r>
    </w:p>
    <w:p w14:paraId="226A1B7A" w14:textId="77777777" w:rsidR="00FE3DCE" w:rsidRDefault="00FE3DCE" w:rsidP="00FE3DC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China Trade Logistics in issuing shares and paying cash to purchase Zhongte Logistics and in raising matching funds</w:t>
      </w:r>
    </w:p>
    <w:p w14:paraId="6BCF1936" w14:textId="77777777" w:rsidR="00FE3DCE" w:rsidRDefault="00FE3DCE" w:rsidP="00FE3DC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Anjing Food in its acquisition of Hongye Aquatic</w:t>
      </w:r>
    </w:p>
    <w:p w14:paraId="78F8CA0D" w14:textId="77777777" w:rsidR="00FE3DCE" w:rsidRDefault="00FE3DCE" w:rsidP="00FE3DC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Akcome Group in its acquisitions of MSH Insurance Company in France and Zhenjing Clinic in the US</w:t>
      </w:r>
    </w:p>
    <w:p w14:paraId="594B8E11" w14:textId="77777777" w:rsidR="00FE3DCE" w:rsidRDefault="00FE3DCE" w:rsidP="00FE3DC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Monfali in its acquisition of all shares in Ojiahua, a listed company in Malaysia</w:t>
      </w:r>
    </w:p>
    <w:p w14:paraId="1D5DE0EF" w14:textId="77777777" w:rsidR="00FE3DCE" w:rsidRDefault="00FE3DCE" w:rsidP="00FE3DCE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China Trade Logistics in its cash acquisition of Dexiang Logistics</w:t>
      </w:r>
    </w:p>
    <w:p w14:paraId="6DC79A1B" w14:textId="77777777" w:rsidR="00FE3DCE" w:rsidRDefault="00FE3DCE" w:rsidP="00FE3DCE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Hongxun Technology in its investment in Dongguan Zhiyin</w:t>
      </w:r>
    </w:p>
    <w:p w14:paraId="646B6941" w14:textId="77777777" w:rsidR="00FE3DCE" w:rsidRDefault="00FE3DCE" w:rsidP="00FE3DCE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Sanyou Medical in its acquisition of Shuimu Tianpeng</w:t>
      </w:r>
    </w:p>
    <w:p w14:paraId="37D81F33" w14:textId="77777777" w:rsidR="00FE3DCE" w:rsidRDefault="00FE3DCE" w:rsidP="00FE3DCE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Haida Group in its acquisitions of Depot and other companies</w:t>
      </w:r>
    </w:p>
    <w:p w14:paraId="774DD417" w14:textId="77777777" w:rsidR="00FE3DCE" w:rsidRDefault="00FE3DCE" w:rsidP="00FE3DCE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American Warburg Pincus in its investments in Sida Restaurant Group, King Mother and Baby Products Retailer, and Red Star Macalline</w:t>
      </w:r>
    </w:p>
    <w:p w14:paraId="7C5FB470" w14:textId="77777777" w:rsidR="00FE3DCE" w:rsidRDefault="00FE3DCE" w:rsidP="00FE3DCE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Linxin Capital in its investments in Canxin, Core Long March and Junxin Electronics</w:t>
      </w:r>
    </w:p>
    <w:p w14:paraId="17049E8A" w14:textId="77777777" w:rsidR="00FE3DCE" w:rsidRDefault="00FE3DCE" w:rsidP="00FE3DCE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Juntong Capital in its investments in Hongsoft Technology, Lanqi Technology and Broadcom Technology</w:t>
      </w:r>
    </w:p>
    <w:p w14:paraId="7037756F" w14:textId="77777777" w:rsidR="00FE3DCE" w:rsidRDefault="00FE3DCE" w:rsidP="00FE3DCE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True Gold Fund in its investment in Shangxun Information</w:t>
      </w:r>
    </w:p>
    <w:p w14:paraId="6DCB3AA2" w14:textId="77777777" w:rsidR="00FE3DCE" w:rsidRDefault="00FE3DCE" w:rsidP="00FE3DCE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Ping An Trust in its investment in Xi'an Ruilian</w:t>
      </w:r>
    </w:p>
    <w:p w14:paraId="29CCF21E" w14:textId="77777777" w:rsidR="00FE3DCE" w:rsidRDefault="00FE3DCE" w:rsidP="00FE3DCE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Huagai Capital and Junlian Capital in their investments in the Series C financing of Motorcomm and in the Series A+ and Series B financing of MicuRx Pharmaceutical, a leading mother and baby e-commerce company</w:t>
      </w:r>
    </w:p>
    <w:p w14:paraId="2C278470" w14:textId="77777777" w:rsidR="00FE3DCE" w:rsidRDefault="00FE3DCE" w:rsidP="00FE3DCE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Represented Xinhua Capital in its investments in Henlius and other companies</w:t>
      </w:r>
    </w:p>
    <w:p w14:paraId="1A217BAB" w14:textId="77777777" w:rsidR="00FE3DCE" w:rsidRDefault="00FE3DCE" w:rsidP="00FE3D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3DCE">
        <w:rPr>
          <w:rFonts w:ascii="等线" w:eastAsia="等线" w:hAnsi="等线"/>
          <w:b/>
          <w:sz w:val="24"/>
        </w:rPr>
        <w:t>Education</w:t>
      </w:r>
    </w:p>
    <w:p w14:paraId="200616D1" w14:textId="77777777" w:rsidR="00FE3DCE" w:rsidRDefault="00FE3DCE" w:rsidP="00FE3DCE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East China University of Political Science and Law, School of Law, LL.B.</w:t>
      </w:r>
    </w:p>
    <w:p w14:paraId="77DB2312" w14:textId="77777777" w:rsidR="00FE3DCE" w:rsidRDefault="00FE3DCE" w:rsidP="00FE3D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3DCE">
        <w:rPr>
          <w:rFonts w:ascii="等线" w:eastAsia="等线" w:hAnsi="等线"/>
          <w:b/>
          <w:sz w:val="24"/>
        </w:rPr>
        <w:t>Professional Qualification</w:t>
      </w:r>
    </w:p>
    <w:p w14:paraId="624546D2" w14:textId="77777777" w:rsidR="00FE3DCE" w:rsidRDefault="00FE3DCE" w:rsidP="00FE3DCE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Admitted to practice in the PRC</w:t>
      </w:r>
    </w:p>
    <w:p w14:paraId="292ECF63" w14:textId="77777777" w:rsidR="00FE3DCE" w:rsidRDefault="00FE3DCE" w:rsidP="00FE3D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3DCE">
        <w:rPr>
          <w:rFonts w:ascii="等线" w:eastAsia="等线" w:hAnsi="等线"/>
          <w:b/>
          <w:sz w:val="24"/>
        </w:rPr>
        <w:t>Work Language</w:t>
      </w:r>
    </w:p>
    <w:p w14:paraId="4D9CF5FE" w14:textId="77777777" w:rsidR="00FE3DCE" w:rsidRDefault="00FE3DCE" w:rsidP="00FE3DCE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Chinese</w:t>
      </w:r>
    </w:p>
    <w:p w14:paraId="723D3C50" w14:textId="77777777" w:rsidR="00FE3DCE" w:rsidRDefault="00FE3DCE" w:rsidP="00FE3DCE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English</w:t>
      </w:r>
    </w:p>
    <w:p w14:paraId="79305F08" w14:textId="77777777" w:rsidR="00FE3DCE" w:rsidRDefault="00FE3DCE" w:rsidP="00FE3D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3DCE">
        <w:rPr>
          <w:rFonts w:ascii="等线" w:eastAsia="等线" w:hAnsi="等线"/>
          <w:b/>
          <w:sz w:val="24"/>
        </w:rPr>
        <w:t>Professional Background</w:t>
      </w:r>
    </w:p>
    <w:p w14:paraId="362FC50F" w14:textId="77777777" w:rsidR="00FE3DCE" w:rsidRDefault="00FE3DCE" w:rsidP="00FE3DCE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Ms. Chen joined the Shanghai Office of Fangda Partners in 2022. She is a member of the Securities Business Research Committee of the Shanghai Bar Association.</w:t>
      </w:r>
    </w:p>
    <w:p w14:paraId="428E1882" w14:textId="77777777" w:rsidR="00FE3DCE" w:rsidRDefault="00FE3DCE" w:rsidP="00FE3D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3DCE">
        <w:rPr>
          <w:rFonts w:ascii="等线" w:eastAsia="等线" w:hAnsi="等线"/>
          <w:b/>
          <w:sz w:val="24"/>
        </w:rPr>
        <w:t>OTHER INFORMATION</w:t>
      </w:r>
    </w:p>
    <w:p w14:paraId="679DB4B6" w14:textId="77777777" w:rsidR="00FE3DCE" w:rsidRDefault="00FE3DCE" w:rsidP="00FE3D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3DCE">
        <w:rPr>
          <w:rFonts w:ascii="等线" w:eastAsia="等线" w:hAnsi="等线"/>
          <w:b/>
          <w:sz w:val="24"/>
        </w:rPr>
        <w:t>Publications</w:t>
      </w:r>
    </w:p>
    <w:p w14:paraId="7433A286" w14:textId="77777777" w:rsidR="00FE3DCE" w:rsidRDefault="00FE3DCE" w:rsidP="00FE3DCE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>Participated in the compilation of "Practice of Securities Law Practice for Lawyers" published by Law Press</w:t>
      </w:r>
      <w:r w:rsidRPr="00FE3DCE">
        <w:rPr>
          <w:rFonts w:ascii="等线" w:eastAsia="等线" w:hAnsi="Times New Roman"/>
          <w:color w:val="000000"/>
        </w:rPr>
        <w:t>·</w:t>
      </w:r>
      <w:r w:rsidRPr="00FE3DCE">
        <w:rPr>
          <w:rFonts w:ascii="等线" w:eastAsia="等线" w:hAnsi="Times New Roman"/>
          <w:color w:val="000000"/>
        </w:rPr>
        <w:t xml:space="preserve">China </w:t>
      </w:r>
    </w:p>
    <w:p w14:paraId="68A77ACE" w14:textId="77777777" w:rsidR="00FE3DCE" w:rsidRDefault="00FE3DCE" w:rsidP="00FE3DC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3DCE">
        <w:rPr>
          <w:rFonts w:ascii="等线" w:eastAsia="等线" w:hAnsi="等线"/>
          <w:b/>
          <w:sz w:val="24"/>
        </w:rPr>
        <w:t>Professional Affiliations</w:t>
      </w:r>
    </w:p>
    <w:p w14:paraId="33D257D0" w14:textId="77777777" w:rsidR="00FE3DCE" w:rsidRDefault="00FE3DCE" w:rsidP="00FE3DCE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 xml:space="preserve">Member of the Securities Business Research Committee of the Shanghai Bar Association </w:t>
      </w:r>
    </w:p>
    <w:p w14:paraId="5567FC3C" w14:textId="65E8E4B5" w:rsidR="00686369" w:rsidRPr="00FE3DCE" w:rsidRDefault="00FE3DCE" w:rsidP="00FE3DCE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3DCE">
        <w:rPr>
          <w:rFonts w:ascii="等线" w:eastAsia="等线" w:hAnsi="Times New Roman"/>
          <w:color w:val="000000"/>
        </w:rPr>
        <w:t xml:space="preserve">Member of the Lujiazui-Shanghai No.2 Branch Committee of The Revolutionary Committee of the Chinese Kuomintang </w:t>
      </w:r>
    </w:p>
    <w:sectPr w:rsidR="00686369" w:rsidRPr="00FE3DC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04CA8"/>
    <w:multiLevelType w:val="singleLevel"/>
    <w:tmpl w:val="5E043A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135C08"/>
    <w:multiLevelType w:val="singleLevel"/>
    <w:tmpl w:val="9DBCA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890E72"/>
    <w:multiLevelType w:val="singleLevel"/>
    <w:tmpl w:val="F0522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AC2A15"/>
    <w:multiLevelType w:val="singleLevel"/>
    <w:tmpl w:val="0ED41D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5B78B0"/>
    <w:multiLevelType w:val="singleLevel"/>
    <w:tmpl w:val="512C90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BD5206B"/>
    <w:multiLevelType w:val="singleLevel"/>
    <w:tmpl w:val="38905F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D203B1A"/>
    <w:multiLevelType w:val="singleLevel"/>
    <w:tmpl w:val="C9F8DA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4BC22A5"/>
    <w:multiLevelType w:val="singleLevel"/>
    <w:tmpl w:val="2584AA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4070DF"/>
    <w:multiLevelType w:val="singleLevel"/>
    <w:tmpl w:val="1D583A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B652B56"/>
    <w:multiLevelType w:val="singleLevel"/>
    <w:tmpl w:val="854C4F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CD125DD"/>
    <w:multiLevelType w:val="singleLevel"/>
    <w:tmpl w:val="015EB6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680531"/>
    <w:multiLevelType w:val="singleLevel"/>
    <w:tmpl w:val="8FA8B0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30C2C3C"/>
    <w:multiLevelType w:val="singleLevel"/>
    <w:tmpl w:val="AC7463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54867F4"/>
    <w:multiLevelType w:val="singleLevel"/>
    <w:tmpl w:val="24B8F9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7BC02FB"/>
    <w:multiLevelType w:val="singleLevel"/>
    <w:tmpl w:val="45123B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82D7BA6"/>
    <w:multiLevelType w:val="singleLevel"/>
    <w:tmpl w:val="497ECA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D5B29CD"/>
    <w:multiLevelType w:val="singleLevel"/>
    <w:tmpl w:val="6534FB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2D25F34"/>
    <w:multiLevelType w:val="singleLevel"/>
    <w:tmpl w:val="22F212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41A03E3"/>
    <w:multiLevelType w:val="singleLevel"/>
    <w:tmpl w:val="82A6C2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93C7B6A"/>
    <w:multiLevelType w:val="singleLevel"/>
    <w:tmpl w:val="4190BE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9664CAD"/>
    <w:multiLevelType w:val="singleLevel"/>
    <w:tmpl w:val="D4D8E1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3D4B2C57"/>
    <w:multiLevelType w:val="singleLevel"/>
    <w:tmpl w:val="7BD625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E421C52"/>
    <w:multiLevelType w:val="singleLevel"/>
    <w:tmpl w:val="53C653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65749BE"/>
    <w:multiLevelType w:val="singleLevel"/>
    <w:tmpl w:val="841466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7C63403"/>
    <w:multiLevelType w:val="singleLevel"/>
    <w:tmpl w:val="5C547B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81815B9"/>
    <w:multiLevelType w:val="singleLevel"/>
    <w:tmpl w:val="5BEA74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F6518F8"/>
    <w:multiLevelType w:val="singleLevel"/>
    <w:tmpl w:val="F8660F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5765BE1"/>
    <w:multiLevelType w:val="singleLevel"/>
    <w:tmpl w:val="C1EAE1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84F0844"/>
    <w:multiLevelType w:val="singleLevel"/>
    <w:tmpl w:val="1DF6B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9DB67C3"/>
    <w:multiLevelType w:val="singleLevel"/>
    <w:tmpl w:val="64F6C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B772D3B"/>
    <w:multiLevelType w:val="singleLevel"/>
    <w:tmpl w:val="4C3C1A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BEE7F1D"/>
    <w:multiLevelType w:val="singleLevel"/>
    <w:tmpl w:val="D86651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C8E04A8"/>
    <w:multiLevelType w:val="singleLevel"/>
    <w:tmpl w:val="96B2C7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DD44F83"/>
    <w:multiLevelType w:val="singleLevel"/>
    <w:tmpl w:val="DA6CE3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E0C4B76"/>
    <w:multiLevelType w:val="singleLevel"/>
    <w:tmpl w:val="E97267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F1A2926"/>
    <w:multiLevelType w:val="singleLevel"/>
    <w:tmpl w:val="2AEAC0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3877A42"/>
    <w:multiLevelType w:val="singleLevel"/>
    <w:tmpl w:val="6136CF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619165C"/>
    <w:multiLevelType w:val="singleLevel"/>
    <w:tmpl w:val="635C5F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7D76A20"/>
    <w:multiLevelType w:val="singleLevel"/>
    <w:tmpl w:val="6534FB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8211898"/>
    <w:multiLevelType w:val="singleLevel"/>
    <w:tmpl w:val="575E3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8E44592"/>
    <w:multiLevelType w:val="singleLevel"/>
    <w:tmpl w:val="6804C3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AD00090"/>
    <w:multiLevelType w:val="singleLevel"/>
    <w:tmpl w:val="CD3868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BE337D7"/>
    <w:multiLevelType w:val="singleLevel"/>
    <w:tmpl w:val="08F017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15352FA"/>
    <w:multiLevelType w:val="singleLevel"/>
    <w:tmpl w:val="12443E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1F21D3F"/>
    <w:multiLevelType w:val="singleLevel"/>
    <w:tmpl w:val="782A77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22C49F1"/>
    <w:multiLevelType w:val="singleLevel"/>
    <w:tmpl w:val="560696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B9A2033"/>
    <w:multiLevelType w:val="singleLevel"/>
    <w:tmpl w:val="267836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F913D42"/>
    <w:multiLevelType w:val="singleLevel"/>
    <w:tmpl w:val="9378CE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7"/>
  </w:num>
  <w:num w:numId="2">
    <w:abstractNumId w:val="22"/>
  </w:num>
  <w:num w:numId="3">
    <w:abstractNumId w:val="4"/>
  </w:num>
  <w:num w:numId="4">
    <w:abstractNumId w:val="6"/>
  </w:num>
  <w:num w:numId="5">
    <w:abstractNumId w:val="39"/>
  </w:num>
  <w:num w:numId="6">
    <w:abstractNumId w:val="26"/>
  </w:num>
  <w:num w:numId="7">
    <w:abstractNumId w:val="7"/>
  </w:num>
  <w:num w:numId="8">
    <w:abstractNumId w:val="36"/>
  </w:num>
  <w:num w:numId="9">
    <w:abstractNumId w:val="30"/>
  </w:num>
  <w:num w:numId="10">
    <w:abstractNumId w:val="12"/>
  </w:num>
  <w:num w:numId="11">
    <w:abstractNumId w:val="43"/>
  </w:num>
  <w:num w:numId="12">
    <w:abstractNumId w:val="14"/>
  </w:num>
  <w:num w:numId="13">
    <w:abstractNumId w:val="37"/>
  </w:num>
  <w:num w:numId="14">
    <w:abstractNumId w:val="45"/>
  </w:num>
  <w:num w:numId="15">
    <w:abstractNumId w:val="31"/>
  </w:num>
  <w:num w:numId="16">
    <w:abstractNumId w:val="1"/>
  </w:num>
  <w:num w:numId="17">
    <w:abstractNumId w:val="15"/>
  </w:num>
  <w:num w:numId="18">
    <w:abstractNumId w:val="48"/>
  </w:num>
  <w:num w:numId="19">
    <w:abstractNumId w:val="46"/>
  </w:num>
  <w:num w:numId="20">
    <w:abstractNumId w:val="9"/>
  </w:num>
  <w:num w:numId="21">
    <w:abstractNumId w:val="18"/>
  </w:num>
  <w:num w:numId="22">
    <w:abstractNumId w:val="5"/>
  </w:num>
  <w:num w:numId="23">
    <w:abstractNumId w:val="2"/>
  </w:num>
  <w:num w:numId="24">
    <w:abstractNumId w:val="42"/>
  </w:num>
  <w:num w:numId="25">
    <w:abstractNumId w:val="21"/>
  </w:num>
  <w:num w:numId="26">
    <w:abstractNumId w:val="24"/>
  </w:num>
  <w:num w:numId="27">
    <w:abstractNumId w:val="23"/>
  </w:num>
  <w:num w:numId="28">
    <w:abstractNumId w:val="13"/>
  </w:num>
  <w:num w:numId="29">
    <w:abstractNumId w:val="25"/>
  </w:num>
  <w:num w:numId="30">
    <w:abstractNumId w:val="3"/>
  </w:num>
  <w:num w:numId="31">
    <w:abstractNumId w:val="8"/>
  </w:num>
  <w:num w:numId="32">
    <w:abstractNumId w:val="41"/>
  </w:num>
  <w:num w:numId="33">
    <w:abstractNumId w:val="33"/>
  </w:num>
  <w:num w:numId="34">
    <w:abstractNumId w:val="49"/>
  </w:num>
  <w:num w:numId="35">
    <w:abstractNumId w:val="44"/>
  </w:num>
  <w:num w:numId="36">
    <w:abstractNumId w:val="47"/>
  </w:num>
  <w:num w:numId="37">
    <w:abstractNumId w:val="28"/>
  </w:num>
  <w:num w:numId="38">
    <w:abstractNumId w:val="34"/>
  </w:num>
  <w:num w:numId="39">
    <w:abstractNumId w:val="0"/>
  </w:num>
  <w:num w:numId="40">
    <w:abstractNumId w:val="10"/>
  </w:num>
  <w:num w:numId="41">
    <w:abstractNumId w:val="38"/>
  </w:num>
  <w:num w:numId="42">
    <w:abstractNumId w:val="27"/>
  </w:num>
  <w:num w:numId="43">
    <w:abstractNumId w:val="19"/>
  </w:num>
  <w:num w:numId="44">
    <w:abstractNumId w:val="29"/>
  </w:num>
  <w:num w:numId="45">
    <w:abstractNumId w:val="32"/>
  </w:num>
  <w:num w:numId="46">
    <w:abstractNumId w:val="11"/>
  </w:num>
  <w:num w:numId="47">
    <w:abstractNumId w:val="35"/>
  </w:num>
  <w:num w:numId="48">
    <w:abstractNumId w:val="20"/>
  </w:num>
  <w:num w:numId="49">
    <w:abstractNumId w:val="16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  <w:rsid w:val="00FE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E3DC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E3DC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90F5AA3-C4B4-4AEA-B92D-7310E153F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683</Words>
  <Characters>3896</Characters>
  <Application>Microsoft Office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2026-10-08T21:45:00Z</dcterms:created>
  <dcterms:modified xsi:type="dcterms:W3CDTF">2026-10-08T21:45:00Z</dcterms:modified>
</cp:coreProperties>
</file>