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6F8BD5" w:rsidR="0049405C" w:rsidRPr="00C24D79" w:rsidRDefault="00D57C74" w:rsidP="00D57C74">
            <w:pPr>
              <w:spacing w:line="720" w:lineRule="auto"/>
              <w:rPr>
                <w:rFonts w:eastAsiaTheme="minorHAnsi"/>
                <w:color w:val="545551"/>
              </w:rPr>
            </w:pPr>
            <w:bookmarkStart w:id="0" w:name="xingming"/>
            <w:bookmarkStart w:id="1" w:name="_GoBack"/>
            <w:bookmarkEnd w:id="1"/>
            <w:r w:rsidRPr="00D57C74">
              <w:rPr>
                <w:rFonts w:ascii="等线" w:eastAsia="等线" w:hAnsi="Times New Roman"/>
                <w:b/>
                <w:color w:val="000000"/>
                <w:sz w:val="48"/>
              </w:rPr>
              <w:t>HENRY HE</w:t>
            </w:r>
            <w:bookmarkEnd w:id="0"/>
          </w:p>
          <w:p w14:paraId="706EB16B" w14:textId="1F543C47" w:rsidR="0049405C" w:rsidRPr="00C24D79" w:rsidRDefault="00D57C74" w:rsidP="00D57C74">
            <w:pPr>
              <w:spacing w:line="360" w:lineRule="auto"/>
              <w:rPr>
                <w:rFonts w:eastAsiaTheme="minorHAnsi"/>
                <w:b/>
                <w:bCs/>
                <w:color w:val="545551"/>
              </w:rPr>
            </w:pPr>
            <w:bookmarkStart w:id="2" w:name="didian"/>
            <w:r w:rsidRPr="00D57C74">
              <w:rPr>
                <w:rFonts w:ascii="等线" w:eastAsia="等线" w:hAnsi="Times New Roman"/>
                <w:b/>
                <w:bCs/>
                <w:color w:val="000000"/>
              </w:rPr>
              <w:t>Partner</w:t>
            </w:r>
            <w:r w:rsidRPr="00D57C74">
              <w:rPr>
                <w:rFonts w:ascii="等线" w:eastAsia="等线" w:hAnsi="Times New Roman"/>
                <w:b/>
                <w:bCs/>
                <w:color w:val="000000"/>
              </w:rPr>
              <w:t>·</w:t>
            </w:r>
            <w:r w:rsidRPr="00D57C74">
              <w:rPr>
                <w:rFonts w:ascii="等线" w:eastAsia="等线" w:hAnsi="Times New Roman"/>
                <w:b/>
                <w:bCs/>
                <w:color w:val="000000"/>
              </w:rPr>
              <w:t>Shanghai</w:t>
            </w:r>
            <w:bookmarkEnd w:id="2"/>
          </w:p>
          <w:p w14:paraId="6199424A" w14:textId="7D9937B8" w:rsidR="0049405C" w:rsidRPr="00C24D79" w:rsidRDefault="00D57C74" w:rsidP="00D57C74">
            <w:pPr>
              <w:spacing w:line="360" w:lineRule="auto"/>
              <w:rPr>
                <w:rFonts w:eastAsiaTheme="minorHAnsi"/>
                <w:color w:val="545551"/>
              </w:rPr>
            </w:pPr>
            <w:bookmarkStart w:id="3" w:name="dianhua"/>
            <w:r w:rsidRPr="00D57C74">
              <w:rPr>
                <w:rFonts w:ascii="等线" w:eastAsia="等线" w:hAnsi="Times New Roman"/>
                <w:color w:val="000000"/>
              </w:rPr>
              <w:t xml:space="preserve">+86 21 2208 1185 </w:t>
            </w:r>
            <w:bookmarkEnd w:id="3"/>
          </w:p>
          <w:p w14:paraId="4F910ACA" w14:textId="79FB9C6E" w:rsidR="0049405C" w:rsidRPr="00C24D79" w:rsidRDefault="00D57C74" w:rsidP="00D57C74">
            <w:pPr>
              <w:spacing w:line="360" w:lineRule="auto"/>
              <w:rPr>
                <w:rFonts w:eastAsiaTheme="minorHAnsi"/>
                <w:color w:val="000000"/>
              </w:rPr>
            </w:pPr>
            <w:bookmarkStart w:id="4" w:name="youxiang"/>
            <w:r w:rsidRPr="00D57C74">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8E5B70" w:rsidR="0049405C" w:rsidRPr="00C24D79" w:rsidRDefault="00D57C7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569BB8" wp14:editId="31D74056">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FC3B40" w:rsidR="009465FB" w:rsidRPr="00C24D79" w:rsidRDefault="00D57C74" w:rsidP="007177F3">
            <w:pPr>
              <w:rPr>
                <w:rFonts w:eastAsiaTheme="minorHAnsi"/>
                <w:color w:val="000000"/>
                <w:szCs w:val="21"/>
              </w:rPr>
            </w:pPr>
            <w:bookmarkStart w:id="6" w:name="zhiyelingyu"/>
            <w:r w:rsidRPr="00D57C74">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996D3D" w14:textId="77777777" w:rsidR="00D57C7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FD3EF1"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REPRESENTATIVE MATTERS AND CASES</w:t>
      </w:r>
    </w:p>
    <w:p w14:paraId="5025DEE4" w14:textId="77777777" w:rsidR="00D57C74" w:rsidRDefault="00D57C74" w:rsidP="00D57C74">
      <w:pPr>
        <w:pStyle w:val="af5"/>
        <w:spacing w:before="120"/>
        <w:rPr>
          <w:rFonts w:ascii="等线" w:eastAsia="等线" w:hAnsi="Times New Roman"/>
          <w:color w:val="000000"/>
        </w:rPr>
      </w:pPr>
      <w:r w:rsidRPr="00D57C74">
        <w:rPr>
          <w:rFonts w:ascii="等线" w:eastAsia="等线" w:hAnsi="Times New Roman"/>
          <w:color w:val="000000"/>
        </w:rPr>
        <w:t>Licensing and Corporate Partnering</w:t>
      </w:r>
    </w:p>
    <w:p w14:paraId="0EAD6131" w14:textId="77777777" w:rsidR="00D57C74" w:rsidRDefault="00D57C74" w:rsidP="00D57C74">
      <w:pPr>
        <w:pStyle w:val="af5"/>
        <w:numPr>
          <w:ilvl w:val="0"/>
          <w:numId w:val="1"/>
        </w:numPr>
        <w:spacing w:before="120"/>
        <w:ind w:left="690" w:hanging="240"/>
        <w:rPr>
          <w:rFonts w:ascii="等线" w:eastAsia="等线" w:hAnsi="Times New Roman"/>
          <w:color w:val="000000"/>
        </w:rPr>
      </w:pPr>
      <w:r w:rsidRPr="00D57C74">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435915FE" w14:textId="77777777" w:rsidR="00D57C74" w:rsidRDefault="00D57C74" w:rsidP="00D57C74">
      <w:pPr>
        <w:pStyle w:val="af5"/>
        <w:numPr>
          <w:ilvl w:val="0"/>
          <w:numId w:val="2"/>
        </w:numPr>
        <w:spacing w:before="120"/>
        <w:ind w:left="690" w:hanging="240"/>
        <w:rPr>
          <w:rFonts w:ascii="等线" w:eastAsia="等线" w:hAnsi="Times New Roman"/>
          <w:color w:val="000000"/>
        </w:rPr>
      </w:pPr>
      <w:r w:rsidRPr="00D57C74">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3BC698BF" w14:textId="77777777" w:rsidR="00D57C74" w:rsidRDefault="00D57C74" w:rsidP="00D57C74">
      <w:pPr>
        <w:pStyle w:val="af5"/>
        <w:numPr>
          <w:ilvl w:val="0"/>
          <w:numId w:val="3"/>
        </w:numPr>
        <w:spacing w:before="120"/>
        <w:ind w:left="690" w:hanging="240"/>
        <w:rPr>
          <w:rFonts w:ascii="等线" w:eastAsia="等线" w:hAnsi="Times New Roman"/>
          <w:color w:val="000000"/>
        </w:rPr>
      </w:pPr>
      <w:r w:rsidRPr="00D57C74">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10A9F90F" w14:textId="77777777" w:rsidR="00D57C74" w:rsidRDefault="00D57C74" w:rsidP="00D57C74">
      <w:pPr>
        <w:pStyle w:val="af5"/>
        <w:numPr>
          <w:ilvl w:val="0"/>
          <w:numId w:val="4"/>
        </w:numPr>
        <w:spacing w:before="120"/>
        <w:ind w:left="690" w:hanging="240"/>
        <w:rPr>
          <w:rFonts w:ascii="等线" w:eastAsia="等线" w:hAnsi="Times New Roman"/>
          <w:color w:val="000000"/>
        </w:rPr>
      </w:pPr>
      <w:r w:rsidRPr="00D57C74">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4730E9EC" w14:textId="77777777" w:rsidR="00D57C74" w:rsidRDefault="00D57C74" w:rsidP="00D57C74">
      <w:pPr>
        <w:pStyle w:val="af5"/>
        <w:numPr>
          <w:ilvl w:val="0"/>
          <w:numId w:val="5"/>
        </w:numPr>
        <w:spacing w:before="120"/>
        <w:ind w:left="690" w:hanging="240"/>
        <w:rPr>
          <w:rFonts w:ascii="等线" w:eastAsia="等线" w:hAnsi="Times New Roman"/>
          <w:color w:val="000000"/>
        </w:rPr>
      </w:pPr>
      <w:r w:rsidRPr="00D57C74">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32B43890" w14:textId="77777777" w:rsidR="00D57C74" w:rsidRDefault="00D57C74" w:rsidP="00D57C74">
      <w:pPr>
        <w:pStyle w:val="af5"/>
        <w:numPr>
          <w:ilvl w:val="0"/>
          <w:numId w:val="6"/>
        </w:numPr>
        <w:spacing w:before="120"/>
        <w:ind w:left="690" w:hanging="240"/>
        <w:rPr>
          <w:rFonts w:ascii="等线" w:eastAsia="等线" w:hAnsi="Times New Roman"/>
          <w:color w:val="000000"/>
        </w:rPr>
      </w:pPr>
      <w:r w:rsidRPr="00D57C74">
        <w:rPr>
          <w:rFonts w:ascii="等线" w:eastAsia="等线" w:hAnsi="Times New Roman"/>
          <w:color w:val="000000"/>
        </w:rPr>
        <w:t>Represented</w:t>
      </w:r>
      <w:r w:rsidRPr="00D57C74">
        <w:rPr>
          <w:rFonts w:ascii="等线" w:eastAsia="等线" w:hAnsi="Times New Roman"/>
          <w:color w:val="000000"/>
        </w:rPr>
        <w:t> </w:t>
      </w:r>
      <w:r w:rsidRPr="00D57C74">
        <w:rPr>
          <w:rFonts w:ascii="等线" w:eastAsia="等线" w:hAnsi="Times New Roman"/>
          <w:color w:val="000000"/>
        </w:rPr>
        <w:t>Boehringer Ingelheim</w:t>
      </w:r>
      <w:r w:rsidRPr="00D57C74">
        <w:rPr>
          <w:rFonts w:ascii="等线" w:eastAsia="等线" w:hAnsi="Times New Roman"/>
          <w:color w:val="000000"/>
        </w:rPr>
        <w:t> </w:t>
      </w:r>
      <w:r w:rsidRPr="00D57C74">
        <w:rPr>
          <w:rFonts w:ascii="等线" w:eastAsia="等线" w:hAnsi="Times New Roman"/>
          <w:color w:val="000000"/>
        </w:rPr>
        <w:t>in entering a collaboration with</w:t>
      </w:r>
      <w:r w:rsidRPr="00D57C74">
        <w:rPr>
          <w:rFonts w:ascii="等线" w:eastAsia="等线" w:hAnsi="Times New Roman"/>
          <w:color w:val="000000"/>
        </w:rPr>
        <w:t> </w:t>
      </w:r>
      <w:r w:rsidRPr="00D57C74">
        <w:rPr>
          <w:rFonts w:ascii="等线" w:eastAsia="等线" w:hAnsi="Times New Roman"/>
          <w:color w:val="000000"/>
        </w:rPr>
        <w:t>Simcere</w:t>
      </w:r>
      <w:r w:rsidRPr="00D57C74">
        <w:rPr>
          <w:rFonts w:ascii="等线" w:eastAsia="等线" w:hAnsi="Times New Roman"/>
          <w:color w:val="000000"/>
        </w:rPr>
        <w:t> </w:t>
      </w:r>
      <w:r w:rsidRPr="00D57C74">
        <w:rPr>
          <w:rFonts w:ascii="等线" w:eastAsia="等线" w:hAnsi="Times New Roman"/>
          <w:color w:val="000000"/>
        </w:rPr>
        <w:t>for global (ex-China) development and commercialization of SIM0709 (TL1A/IL23p19 bsAb).</w:t>
      </w:r>
    </w:p>
    <w:p w14:paraId="5F5DFA1B" w14:textId="77777777" w:rsidR="00D57C74" w:rsidRDefault="00D57C74" w:rsidP="00D57C74">
      <w:pPr>
        <w:pStyle w:val="af5"/>
        <w:numPr>
          <w:ilvl w:val="0"/>
          <w:numId w:val="7"/>
        </w:numPr>
        <w:spacing w:before="120"/>
        <w:ind w:left="690" w:hanging="240"/>
        <w:rPr>
          <w:rFonts w:ascii="等线" w:eastAsia="等线" w:hAnsi="Times New Roman"/>
          <w:color w:val="000000"/>
        </w:rPr>
      </w:pPr>
      <w:r w:rsidRPr="00D57C74">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44AF0647" w14:textId="77777777" w:rsidR="00D57C74" w:rsidRDefault="00D57C74" w:rsidP="00D57C74">
      <w:pPr>
        <w:pStyle w:val="af5"/>
        <w:numPr>
          <w:ilvl w:val="0"/>
          <w:numId w:val="8"/>
        </w:numPr>
        <w:spacing w:before="120"/>
        <w:ind w:left="690" w:hanging="240"/>
        <w:rPr>
          <w:rFonts w:ascii="等线" w:eastAsia="等线" w:hAnsi="Times New Roman"/>
          <w:color w:val="000000"/>
        </w:rPr>
      </w:pPr>
      <w:r w:rsidRPr="00D57C74">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16026332" w14:textId="77777777" w:rsidR="00D57C74" w:rsidRDefault="00D57C74" w:rsidP="00D57C74">
      <w:pPr>
        <w:pStyle w:val="af5"/>
        <w:numPr>
          <w:ilvl w:val="0"/>
          <w:numId w:val="9"/>
        </w:numPr>
        <w:spacing w:before="120"/>
        <w:ind w:left="690" w:hanging="240"/>
        <w:rPr>
          <w:rFonts w:ascii="等线" w:eastAsia="等线" w:hAnsi="Times New Roman"/>
          <w:color w:val="000000"/>
        </w:rPr>
      </w:pPr>
      <w:r w:rsidRPr="00D57C74">
        <w:rPr>
          <w:rFonts w:ascii="等线" w:eastAsia="等线" w:hAnsi="Times New Roman"/>
          <w:color w:val="000000"/>
        </w:rPr>
        <w:t>Represented TJ Bio to enter into a strategic collaboration with Biogen under which Biogen will acquire TJ Bio</w:t>
      </w:r>
      <w:r w:rsidRPr="00D57C74">
        <w:rPr>
          <w:rFonts w:ascii="等线" w:eastAsia="等线" w:hAnsi="Times New Roman"/>
          <w:color w:val="000000"/>
        </w:rPr>
        <w:t>’</w:t>
      </w:r>
      <w:r w:rsidRPr="00D57C74">
        <w:rPr>
          <w:rFonts w:ascii="等线" w:eastAsia="等线" w:hAnsi="Times New Roman"/>
          <w:color w:val="000000"/>
        </w:rPr>
        <w:t>s exclusive rights to Felzartamab (an investigational therapeutic human monoclonal antibody directed against CD38) in the Greater China region.</w:t>
      </w:r>
      <w:r w:rsidRPr="00D57C74">
        <w:rPr>
          <w:rFonts w:ascii="等线" w:eastAsia="等线" w:hAnsi="Times New Roman"/>
          <w:color w:val="000000"/>
        </w:rPr>
        <w:t> </w:t>
      </w:r>
      <w:r w:rsidRPr="00D57C74">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5F39F669" w14:textId="77777777" w:rsidR="00D57C74" w:rsidRDefault="00D57C74" w:rsidP="00D57C74">
      <w:pPr>
        <w:pStyle w:val="af5"/>
        <w:numPr>
          <w:ilvl w:val="0"/>
          <w:numId w:val="10"/>
        </w:numPr>
        <w:spacing w:before="120"/>
        <w:ind w:left="690" w:hanging="240"/>
        <w:rPr>
          <w:rFonts w:ascii="等线" w:eastAsia="等线" w:hAnsi="Times New Roman"/>
          <w:color w:val="000000"/>
        </w:rPr>
      </w:pPr>
      <w:r w:rsidRPr="00D57C74">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65D43219" w14:textId="77777777" w:rsidR="00D57C74" w:rsidRDefault="00D57C74" w:rsidP="00D57C74">
      <w:pPr>
        <w:pStyle w:val="af5"/>
        <w:numPr>
          <w:ilvl w:val="0"/>
          <w:numId w:val="11"/>
        </w:numPr>
        <w:spacing w:before="120"/>
        <w:ind w:left="690" w:hanging="240"/>
        <w:rPr>
          <w:rFonts w:ascii="等线" w:eastAsia="等线" w:hAnsi="Times New Roman"/>
          <w:color w:val="000000"/>
        </w:rPr>
      </w:pPr>
      <w:r w:rsidRPr="00D57C74">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040CB802" w14:textId="77777777" w:rsidR="00D57C74" w:rsidRDefault="00D57C74" w:rsidP="00D57C74">
      <w:pPr>
        <w:pStyle w:val="af5"/>
        <w:numPr>
          <w:ilvl w:val="0"/>
          <w:numId w:val="12"/>
        </w:numPr>
        <w:spacing w:before="120"/>
        <w:ind w:left="690" w:hanging="240"/>
        <w:rPr>
          <w:rFonts w:ascii="等线" w:eastAsia="等线" w:hAnsi="Times New Roman"/>
          <w:color w:val="000000"/>
        </w:rPr>
      </w:pPr>
      <w:r w:rsidRPr="00D57C74">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501FEC66" w14:textId="77777777" w:rsidR="00D57C74" w:rsidRDefault="00D57C74" w:rsidP="00D57C74">
      <w:pPr>
        <w:pStyle w:val="af5"/>
        <w:numPr>
          <w:ilvl w:val="0"/>
          <w:numId w:val="13"/>
        </w:numPr>
        <w:spacing w:before="120"/>
        <w:ind w:left="690" w:hanging="240"/>
        <w:rPr>
          <w:rFonts w:ascii="等线" w:eastAsia="等线" w:hAnsi="Times New Roman"/>
          <w:color w:val="000000"/>
        </w:rPr>
      </w:pPr>
      <w:r w:rsidRPr="00D57C74">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1CB8A13C" w14:textId="77777777" w:rsidR="00D57C74" w:rsidRDefault="00D57C74" w:rsidP="00D57C74">
      <w:pPr>
        <w:pStyle w:val="af5"/>
        <w:numPr>
          <w:ilvl w:val="0"/>
          <w:numId w:val="14"/>
        </w:numPr>
        <w:spacing w:before="120"/>
        <w:ind w:left="690" w:hanging="240"/>
        <w:rPr>
          <w:rFonts w:ascii="等线" w:eastAsia="等线" w:hAnsi="Times New Roman"/>
          <w:color w:val="000000"/>
        </w:rPr>
      </w:pPr>
      <w:r w:rsidRPr="00D57C74">
        <w:rPr>
          <w:rFonts w:ascii="等线" w:eastAsia="等线" w:hAnsi="Times New Roman"/>
          <w:color w:val="000000"/>
        </w:rPr>
        <w:t>Represented</w:t>
      </w:r>
      <w:r w:rsidRPr="00D57C74">
        <w:rPr>
          <w:rFonts w:ascii="等线" w:eastAsia="等线" w:hAnsi="Times New Roman"/>
          <w:color w:val="000000"/>
        </w:rPr>
        <w:t> </w:t>
      </w:r>
      <w:r w:rsidRPr="00D57C74">
        <w:rPr>
          <w:rFonts w:ascii="等线" w:eastAsia="等线" w:hAnsi="Times New Roman"/>
          <w:color w:val="000000"/>
        </w:rPr>
        <w:t>Kanghua</w:t>
      </w:r>
      <w:r w:rsidRPr="00D57C74">
        <w:rPr>
          <w:rFonts w:ascii="等线" w:eastAsia="等线" w:hAnsi="Times New Roman"/>
          <w:color w:val="000000"/>
        </w:rPr>
        <w:t> </w:t>
      </w:r>
      <w:r w:rsidRPr="00D57C74">
        <w:rPr>
          <w:rFonts w:ascii="等线" w:eastAsia="等线" w:hAnsi="Times New Roman"/>
          <w:color w:val="000000"/>
        </w:rPr>
        <w:t>(300841.SZ) in granting</w:t>
      </w:r>
      <w:r w:rsidRPr="00D57C74">
        <w:rPr>
          <w:rFonts w:ascii="等线" w:eastAsia="等线" w:hAnsi="Times New Roman"/>
          <w:color w:val="000000"/>
        </w:rPr>
        <w:t> </w:t>
      </w:r>
      <w:r w:rsidRPr="00D57C74">
        <w:rPr>
          <w:rFonts w:ascii="等线" w:eastAsia="等线" w:hAnsi="Times New Roman"/>
          <w:color w:val="000000"/>
        </w:rPr>
        <w:t>HilleVax</w:t>
      </w:r>
      <w:r w:rsidRPr="00D57C74">
        <w:rPr>
          <w:rFonts w:ascii="等线" w:eastAsia="等线" w:hAnsi="Times New Roman"/>
          <w:color w:val="000000"/>
        </w:rPr>
        <w:t> </w:t>
      </w:r>
      <w:r w:rsidRPr="00D57C74">
        <w:rPr>
          <w:rFonts w:ascii="等线" w:eastAsia="等线" w:hAnsi="Times New Roman"/>
          <w:color w:val="000000"/>
        </w:rPr>
        <w:t>(HLVX.Nasdaq) the exclusive rights to develop, manufacture and commercialize Kanghua</w:t>
      </w:r>
      <w:r w:rsidRPr="00D57C74">
        <w:rPr>
          <w:rFonts w:ascii="等线" w:eastAsia="等线" w:hAnsi="Times New Roman"/>
          <w:color w:val="000000"/>
        </w:rPr>
        <w:t>’</w:t>
      </w:r>
      <w:r w:rsidRPr="00D57C74">
        <w:rPr>
          <w:rFonts w:ascii="等线" w:eastAsia="等线" w:hAnsi="Times New Roman"/>
          <w:color w:val="000000"/>
        </w:rPr>
        <w:t>s hexavalent virus-like particle (VLP) vaccine candidate for norovirus in the ex-Greater China territory.</w:t>
      </w:r>
    </w:p>
    <w:p w14:paraId="65BCC705" w14:textId="77777777" w:rsidR="00D57C74" w:rsidRDefault="00D57C74" w:rsidP="00D57C74">
      <w:pPr>
        <w:pStyle w:val="af5"/>
        <w:numPr>
          <w:ilvl w:val="0"/>
          <w:numId w:val="15"/>
        </w:numPr>
        <w:spacing w:before="120"/>
        <w:ind w:left="690" w:hanging="240"/>
        <w:rPr>
          <w:rFonts w:ascii="等线" w:eastAsia="等线" w:hAnsi="Times New Roman"/>
          <w:color w:val="000000"/>
        </w:rPr>
      </w:pPr>
      <w:r w:rsidRPr="00D57C74">
        <w:rPr>
          <w:rFonts w:ascii="等线" w:eastAsia="等线" w:hAnsi="Times New Roman"/>
          <w:color w:val="000000"/>
        </w:rPr>
        <w:t>Represented</w:t>
      </w:r>
      <w:r w:rsidRPr="00D57C74">
        <w:rPr>
          <w:rFonts w:ascii="等线" w:eastAsia="等线" w:hAnsi="Times New Roman"/>
          <w:color w:val="000000"/>
        </w:rPr>
        <w:t> </w:t>
      </w:r>
      <w:r w:rsidRPr="00D57C74">
        <w:rPr>
          <w:rFonts w:ascii="等线" w:eastAsia="等线" w:hAnsi="Times New Roman"/>
          <w:color w:val="000000"/>
        </w:rPr>
        <w:t>OTR Therapeutics</w:t>
      </w:r>
      <w:r w:rsidRPr="00D57C74">
        <w:rPr>
          <w:rFonts w:ascii="等线" w:eastAsia="等线" w:hAnsi="Times New Roman"/>
          <w:color w:val="000000"/>
        </w:rPr>
        <w:t> </w:t>
      </w:r>
      <w:r w:rsidRPr="00D57C74">
        <w:rPr>
          <w:rFonts w:ascii="等线" w:eastAsia="等线" w:hAnsi="Times New Roman"/>
          <w:color w:val="000000"/>
        </w:rPr>
        <w:t>in entering multi-program strategic collaboration and license agreement with</w:t>
      </w:r>
      <w:r w:rsidRPr="00D57C74">
        <w:rPr>
          <w:rFonts w:ascii="等线" w:eastAsia="等线" w:hAnsi="Times New Roman"/>
          <w:color w:val="000000"/>
        </w:rPr>
        <w:t> </w:t>
      </w:r>
      <w:r w:rsidRPr="00D57C74">
        <w:rPr>
          <w:rFonts w:ascii="等线" w:eastAsia="等线" w:hAnsi="Times New Roman"/>
          <w:color w:val="000000"/>
        </w:rPr>
        <w:t>Zealand Pharma</w:t>
      </w:r>
      <w:r w:rsidRPr="00D57C74">
        <w:rPr>
          <w:rFonts w:ascii="等线" w:eastAsia="等线" w:hAnsi="Times New Roman"/>
          <w:color w:val="000000"/>
        </w:rPr>
        <w:t> </w:t>
      </w:r>
      <w:r w:rsidRPr="00D57C74">
        <w:rPr>
          <w:rFonts w:ascii="等线" w:eastAsia="等线" w:hAnsi="Times New Roman"/>
          <w:color w:val="000000"/>
        </w:rPr>
        <w:t>(ZEAL.US) to develop novel therapeutics for metabolic diseases, with potential aggregate consideration up to US$2.5 billion.</w:t>
      </w:r>
    </w:p>
    <w:p w14:paraId="36168481" w14:textId="77777777" w:rsidR="00D57C74" w:rsidRDefault="00D57C74" w:rsidP="00D57C74">
      <w:pPr>
        <w:pStyle w:val="af5"/>
        <w:numPr>
          <w:ilvl w:val="0"/>
          <w:numId w:val="16"/>
        </w:numPr>
        <w:spacing w:before="120"/>
        <w:ind w:left="690" w:hanging="240"/>
        <w:rPr>
          <w:rFonts w:ascii="等线" w:eastAsia="等线" w:hAnsi="Times New Roman"/>
          <w:color w:val="000000"/>
        </w:rPr>
      </w:pPr>
      <w:r w:rsidRPr="00D57C74">
        <w:rPr>
          <w:rFonts w:ascii="等线" w:eastAsia="等线" w:hAnsi="Times New Roman"/>
          <w:color w:val="000000"/>
        </w:rPr>
        <w:t>Represented</w:t>
      </w:r>
      <w:r w:rsidRPr="00D57C74">
        <w:rPr>
          <w:rFonts w:ascii="等线" w:eastAsia="等线" w:hAnsi="Times New Roman"/>
          <w:color w:val="000000"/>
        </w:rPr>
        <w:t> </w:t>
      </w:r>
      <w:r w:rsidRPr="00D57C74">
        <w:rPr>
          <w:rFonts w:ascii="等线" w:eastAsia="等线" w:hAnsi="Times New Roman"/>
          <w:color w:val="000000"/>
        </w:rPr>
        <w:t>Huaota</w:t>
      </w:r>
      <w:r w:rsidRPr="00D57C74">
        <w:rPr>
          <w:rFonts w:ascii="等线" w:eastAsia="等线" w:hAnsi="Times New Roman"/>
          <w:color w:val="000000"/>
        </w:rPr>
        <w:t> </w:t>
      </w:r>
      <w:r w:rsidRPr="00D57C74">
        <w:rPr>
          <w:rFonts w:ascii="等线" w:eastAsia="等线" w:hAnsi="Times New Roman"/>
          <w:color w:val="000000"/>
        </w:rPr>
        <w:t>in a collaboration and licensing agreement with</w:t>
      </w:r>
      <w:r w:rsidRPr="00D57C74">
        <w:rPr>
          <w:rFonts w:ascii="等线" w:eastAsia="等线" w:hAnsi="Times New Roman"/>
          <w:color w:val="000000"/>
        </w:rPr>
        <w:t> </w:t>
      </w:r>
      <w:r w:rsidRPr="00D57C74">
        <w:rPr>
          <w:rFonts w:ascii="等线" w:eastAsia="等线" w:hAnsi="Times New Roman"/>
          <w:color w:val="000000"/>
        </w:rPr>
        <w:t>Almirall S.A. to jointly initiate a research and development program advancing an mAb candidate for multiple indications, including medical dermatology.</w:t>
      </w:r>
    </w:p>
    <w:p w14:paraId="76320990" w14:textId="77777777" w:rsidR="00D57C74" w:rsidRDefault="00D57C74" w:rsidP="00D57C74">
      <w:pPr>
        <w:pStyle w:val="af5"/>
        <w:numPr>
          <w:ilvl w:val="0"/>
          <w:numId w:val="17"/>
        </w:numPr>
        <w:spacing w:before="120"/>
        <w:ind w:left="690" w:hanging="240"/>
        <w:rPr>
          <w:rFonts w:ascii="等线" w:eastAsia="等线" w:hAnsi="Times New Roman"/>
          <w:color w:val="000000"/>
        </w:rPr>
      </w:pPr>
      <w:r w:rsidRPr="00D57C74">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65AFFEE3" w14:textId="77777777" w:rsidR="00D57C74" w:rsidRDefault="00D57C74" w:rsidP="00D57C74">
      <w:pPr>
        <w:pStyle w:val="af5"/>
        <w:numPr>
          <w:ilvl w:val="0"/>
          <w:numId w:val="18"/>
        </w:numPr>
        <w:spacing w:before="120"/>
        <w:ind w:left="690" w:hanging="240"/>
        <w:rPr>
          <w:rFonts w:ascii="等线" w:eastAsia="等线" w:hAnsi="Times New Roman"/>
          <w:color w:val="000000"/>
        </w:rPr>
      </w:pPr>
      <w:r w:rsidRPr="00D57C74">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46500561" w14:textId="77777777" w:rsidR="00D57C74" w:rsidRDefault="00D57C74" w:rsidP="00D57C74">
      <w:pPr>
        <w:pStyle w:val="af5"/>
        <w:numPr>
          <w:ilvl w:val="0"/>
          <w:numId w:val="19"/>
        </w:numPr>
        <w:spacing w:before="120"/>
        <w:ind w:left="690" w:hanging="240"/>
        <w:rPr>
          <w:rFonts w:ascii="等线" w:eastAsia="等线" w:hAnsi="Times New Roman"/>
          <w:color w:val="000000"/>
        </w:rPr>
      </w:pPr>
      <w:r w:rsidRPr="00D57C74">
        <w:rPr>
          <w:rFonts w:ascii="等线" w:eastAsia="等线" w:hAnsi="Times New Roman"/>
          <w:color w:val="000000"/>
        </w:rPr>
        <w:t>an Asset Purchase Agreement and a Transition Plan Agreement with Les Laboratoires Servier under which Servier acquired the TIBSOVO</w:t>
      </w:r>
      <w:r w:rsidRPr="00D57C74">
        <w:rPr>
          <w:rFonts w:ascii="等线" w:eastAsia="等线" w:hAnsi="Times New Roman"/>
          <w:color w:val="000000"/>
        </w:rPr>
        <w:t>®</w:t>
      </w:r>
      <w:r w:rsidRPr="00D57C74">
        <w:rPr>
          <w:rFonts w:ascii="等线" w:eastAsia="等线" w:hAnsi="Times New Roman"/>
          <w:color w:val="000000"/>
        </w:rPr>
        <w:t xml:space="preserve"> (Ivosidenib, IDH1 inhibitor) business and any goodwill thereof, including the transferred assets, in Greater China and Singapore.</w:t>
      </w:r>
    </w:p>
    <w:p w14:paraId="0EF49047" w14:textId="77777777" w:rsidR="00D57C74" w:rsidRDefault="00D57C74" w:rsidP="00D57C74">
      <w:pPr>
        <w:pStyle w:val="af5"/>
        <w:numPr>
          <w:ilvl w:val="0"/>
          <w:numId w:val="20"/>
        </w:numPr>
        <w:spacing w:before="120"/>
        <w:ind w:left="690" w:hanging="240"/>
        <w:rPr>
          <w:rFonts w:ascii="等线" w:eastAsia="等线" w:hAnsi="Times New Roman"/>
          <w:color w:val="000000"/>
        </w:rPr>
      </w:pPr>
      <w:r w:rsidRPr="00D57C74">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43D77A57" w14:textId="77777777" w:rsidR="00D57C74" w:rsidRDefault="00D57C74" w:rsidP="00D57C74">
      <w:pPr>
        <w:pStyle w:val="af5"/>
        <w:numPr>
          <w:ilvl w:val="0"/>
          <w:numId w:val="21"/>
        </w:numPr>
        <w:spacing w:before="120"/>
        <w:ind w:left="690" w:hanging="240"/>
        <w:rPr>
          <w:rFonts w:ascii="等线" w:eastAsia="等线" w:hAnsi="Times New Roman"/>
          <w:color w:val="000000"/>
        </w:rPr>
      </w:pPr>
      <w:r w:rsidRPr="00D57C74">
        <w:rPr>
          <w:rFonts w:ascii="等线" w:eastAsia="等线" w:hAnsi="Times New Roman"/>
          <w:color w:val="000000"/>
        </w:rPr>
        <w:t>in a collaboration with 3SBio Inc. for the exclusive commercialization right to anti-PD-1 monoclonal antibody (nofazinlimab) in mainland China</w:t>
      </w:r>
    </w:p>
    <w:p w14:paraId="049EABA8" w14:textId="77777777" w:rsidR="00D57C74" w:rsidRDefault="00D57C74" w:rsidP="00D57C74">
      <w:pPr>
        <w:pStyle w:val="af5"/>
        <w:numPr>
          <w:ilvl w:val="0"/>
          <w:numId w:val="22"/>
        </w:numPr>
        <w:spacing w:before="120"/>
        <w:ind w:left="690" w:hanging="240"/>
        <w:rPr>
          <w:rFonts w:ascii="等线" w:eastAsia="等线" w:hAnsi="Times New Roman"/>
          <w:color w:val="000000"/>
        </w:rPr>
      </w:pPr>
      <w:r w:rsidRPr="00D57C74">
        <w:rPr>
          <w:rFonts w:ascii="等线" w:eastAsia="等线" w:hAnsi="Times New Roman"/>
          <w:color w:val="000000"/>
        </w:rPr>
        <w:t>in granting an exclusive commercial promotion right to Allist (688578.SH), with respect to its approved RET inhibitor Gavreto</w:t>
      </w:r>
      <w:r w:rsidRPr="00D57C74">
        <w:rPr>
          <w:rFonts w:ascii="等线" w:eastAsia="等线" w:hAnsi="Times New Roman"/>
          <w:color w:val="000000"/>
        </w:rPr>
        <w:t>®</w:t>
      </w:r>
      <w:r w:rsidRPr="00D57C74">
        <w:rPr>
          <w:rFonts w:ascii="等线" w:eastAsia="等线" w:hAnsi="Times New Roman"/>
          <w:color w:val="000000"/>
        </w:rPr>
        <w:t xml:space="preserve"> (pralsetinib) in mainland China.</w:t>
      </w:r>
    </w:p>
    <w:p w14:paraId="305547FF" w14:textId="77777777" w:rsidR="00D57C74" w:rsidRDefault="00D57C74" w:rsidP="00D57C74">
      <w:pPr>
        <w:pStyle w:val="af5"/>
        <w:numPr>
          <w:ilvl w:val="0"/>
          <w:numId w:val="23"/>
        </w:numPr>
        <w:spacing w:before="120"/>
        <w:ind w:left="690" w:hanging="240"/>
        <w:rPr>
          <w:rFonts w:ascii="等线" w:eastAsia="等线" w:hAnsi="Times New Roman"/>
          <w:color w:val="000000"/>
        </w:rPr>
      </w:pPr>
      <w:r w:rsidRPr="00D57C74">
        <w:rPr>
          <w:rFonts w:ascii="等线" w:eastAsia="等线" w:hAnsi="Times New Roman"/>
          <w:color w:val="000000"/>
        </w:rPr>
        <w:t>in a collaboration with Hengrui Pharmaceuticals (600276.SH) for the development and commercialization rights to CTLA-4 mAb (CS1002) in Greater China.</w:t>
      </w:r>
    </w:p>
    <w:p w14:paraId="20DED2CD" w14:textId="77777777" w:rsidR="00D57C74" w:rsidRDefault="00D57C74" w:rsidP="00D57C74">
      <w:pPr>
        <w:pStyle w:val="af5"/>
        <w:numPr>
          <w:ilvl w:val="0"/>
          <w:numId w:val="24"/>
        </w:numPr>
        <w:spacing w:before="120"/>
        <w:ind w:left="690" w:hanging="240"/>
        <w:rPr>
          <w:rFonts w:ascii="等线" w:eastAsia="等线" w:hAnsi="Times New Roman"/>
          <w:color w:val="000000"/>
        </w:rPr>
      </w:pPr>
      <w:r w:rsidRPr="00D57C74">
        <w:rPr>
          <w:rFonts w:ascii="等线" w:eastAsia="等线" w:hAnsi="Times New Roman"/>
          <w:color w:val="000000"/>
        </w:rPr>
        <w:t>in China MAH transfer for GAVRETO</w:t>
      </w:r>
      <w:r w:rsidRPr="00D57C74">
        <w:rPr>
          <w:rFonts w:ascii="等线" w:eastAsia="等线" w:hAnsi="Times New Roman"/>
          <w:color w:val="000000"/>
        </w:rPr>
        <w:t>®</w:t>
      </w:r>
      <w:r w:rsidRPr="00D57C74">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5895FCDA" w14:textId="77777777" w:rsidR="00D57C74" w:rsidRDefault="00D57C74" w:rsidP="00D57C74">
      <w:pPr>
        <w:pStyle w:val="af5"/>
        <w:numPr>
          <w:ilvl w:val="0"/>
          <w:numId w:val="25"/>
        </w:numPr>
        <w:spacing w:before="120"/>
        <w:ind w:left="690" w:hanging="240"/>
        <w:rPr>
          <w:rFonts w:ascii="等线" w:eastAsia="等线" w:hAnsi="Times New Roman"/>
          <w:color w:val="000000"/>
        </w:rPr>
      </w:pPr>
      <w:r w:rsidRPr="00D57C74">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53E178F5" w14:textId="77777777" w:rsidR="00D57C74" w:rsidRDefault="00D57C74" w:rsidP="00D57C74">
      <w:pPr>
        <w:pStyle w:val="af5"/>
        <w:numPr>
          <w:ilvl w:val="0"/>
          <w:numId w:val="26"/>
        </w:numPr>
        <w:spacing w:before="120"/>
        <w:ind w:left="690" w:hanging="240"/>
        <w:rPr>
          <w:rFonts w:ascii="等线" w:eastAsia="等线" w:hAnsi="Times New Roman"/>
          <w:color w:val="000000"/>
        </w:rPr>
      </w:pPr>
      <w:r w:rsidRPr="00D57C74">
        <w:rPr>
          <w:rFonts w:ascii="等线" w:eastAsia="等线" w:hAnsi="Times New Roman"/>
          <w:color w:val="000000"/>
        </w:rPr>
        <w:t>Represented Zelgen Biopharmaceuticals in its out-licensing collaboration with Merck to grant an exclusive commercialization rights for Zelgen</w:t>
      </w:r>
      <w:r w:rsidRPr="00D57C74">
        <w:rPr>
          <w:rFonts w:ascii="等线" w:eastAsia="等线" w:hAnsi="Times New Roman"/>
          <w:color w:val="000000"/>
        </w:rPr>
        <w:t>’</w:t>
      </w:r>
      <w:r w:rsidRPr="00D57C74">
        <w:rPr>
          <w:rFonts w:ascii="等线" w:eastAsia="等线" w:hAnsi="Times New Roman"/>
          <w:color w:val="000000"/>
        </w:rPr>
        <w:t>s self-developed rhTSH injection in Chinese mainland.</w:t>
      </w:r>
    </w:p>
    <w:p w14:paraId="33DA7F29" w14:textId="77777777" w:rsidR="00D57C74" w:rsidRDefault="00D57C74" w:rsidP="00D57C74">
      <w:pPr>
        <w:pStyle w:val="af5"/>
        <w:numPr>
          <w:ilvl w:val="0"/>
          <w:numId w:val="27"/>
        </w:numPr>
        <w:spacing w:before="120"/>
        <w:ind w:left="690" w:hanging="240"/>
        <w:rPr>
          <w:rFonts w:ascii="等线" w:eastAsia="等线" w:hAnsi="Times New Roman"/>
          <w:color w:val="000000"/>
        </w:rPr>
      </w:pPr>
      <w:r w:rsidRPr="00D57C74">
        <w:rPr>
          <w:rFonts w:ascii="等线" w:eastAsia="等线" w:hAnsi="Times New Roman"/>
          <w:color w:val="000000"/>
        </w:rPr>
        <w:t>Represented UCB on its strategic collaboration with BioRay with respect to the exclusive commercialization of IL-17A and IL-17F inhibitor Bimzelx</w:t>
      </w:r>
      <w:r w:rsidRPr="00D57C74">
        <w:rPr>
          <w:rFonts w:ascii="等线" w:eastAsia="等线" w:hAnsi="Times New Roman"/>
          <w:color w:val="000000"/>
        </w:rPr>
        <w:t>®</w:t>
      </w:r>
      <w:r w:rsidRPr="00D57C74">
        <w:rPr>
          <w:rFonts w:ascii="等线" w:eastAsia="等线" w:hAnsi="Times New Roman"/>
          <w:color w:val="000000"/>
        </w:rPr>
        <w:t xml:space="preserve"> (bimekizumab) in China.</w:t>
      </w:r>
    </w:p>
    <w:p w14:paraId="6998E50E" w14:textId="77777777" w:rsidR="00D57C74" w:rsidRDefault="00D57C74" w:rsidP="00D57C74">
      <w:pPr>
        <w:pStyle w:val="af5"/>
        <w:numPr>
          <w:ilvl w:val="0"/>
          <w:numId w:val="28"/>
        </w:numPr>
        <w:spacing w:before="120"/>
        <w:ind w:left="690" w:hanging="240"/>
        <w:rPr>
          <w:rFonts w:ascii="等线" w:eastAsia="等线" w:hAnsi="Times New Roman"/>
          <w:color w:val="000000"/>
        </w:rPr>
      </w:pPr>
      <w:r w:rsidRPr="00D57C74">
        <w:rPr>
          <w:rFonts w:ascii="等线" w:eastAsia="等线" w:hAnsi="Times New Roman"/>
          <w:color w:val="000000"/>
        </w:rPr>
        <w:t>Represented Frazier Life Sciences in entering an exclusive license agreement with Haisco for a global (ex-China) license for a PDE3/4 inhibitor HSK39004.</w:t>
      </w:r>
    </w:p>
    <w:p w14:paraId="6EE3BCF1" w14:textId="77777777" w:rsidR="00D57C74" w:rsidRDefault="00D57C74" w:rsidP="00D57C74">
      <w:pPr>
        <w:pStyle w:val="af5"/>
        <w:numPr>
          <w:ilvl w:val="0"/>
          <w:numId w:val="29"/>
        </w:numPr>
        <w:spacing w:before="120"/>
        <w:ind w:left="690" w:hanging="240"/>
        <w:rPr>
          <w:rFonts w:ascii="等线" w:eastAsia="等线" w:hAnsi="Times New Roman"/>
          <w:color w:val="000000"/>
        </w:rPr>
      </w:pPr>
      <w:r w:rsidRPr="00D57C74">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5955433C" w14:textId="77777777" w:rsidR="00D57C74" w:rsidRDefault="00D57C74" w:rsidP="00D57C74">
      <w:pPr>
        <w:pStyle w:val="af5"/>
        <w:numPr>
          <w:ilvl w:val="0"/>
          <w:numId w:val="30"/>
        </w:numPr>
        <w:spacing w:before="120"/>
        <w:ind w:left="690" w:hanging="240"/>
        <w:rPr>
          <w:rFonts w:ascii="等线" w:eastAsia="等线" w:hAnsi="Times New Roman"/>
          <w:color w:val="000000"/>
        </w:rPr>
      </w:pPr>
      <w:r w:rsidRPr="00D57C74">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4F21EAB4" w14:textId="77777777" w:rsidR="00D57C74" w:rsidRDefault="00D57C74" w:rsidP="00D57C74">
      <w:pPr>
        <w:pStyle w:val="af5"/>
        <w:numPr>
          <w:ilvl w:val="0"/>
          <w:numId w:val="31"/>
        </w:numPr>
        <w:spacing w:before="120"/>
        <w:ind w:left="690" w:hanging="240"/>
        <w:rPr>
          <w:rFonts w:ascii="等线" w:eastAsia="等线" w:hAnsi="Times New Roman"/>
          <w:color w:val="000000"/>
        </w:rPr>
      </w:pPr>
      <w:r w:rsidRPr="00D57C74">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0D4F821A" w14:textId="77777777" w:rsidR="00D57C74" w:rsidRDefault="00D57C74" w:rsidP="00D57C74">
      <w:pPr>
        <w:pStyle w:val="af5"/>
        <w:numPr>
          <w:ilvl w:val="0"/>
          <w:numId w:val="32"/>
        </w:numPr>
        <w:spacing w:before="120"/>
        <w:ind w:left="690" w:hanging="240"/>
        <w:rPr>
          <w:rFonts w:ascii="等线" w:eastAsia="等线" w:hAnsi="Times New Roman"/>
          <w:color w:val="000000"/>
        </w:rPr>
      </w:pPr>
      <w:r w:rsidRPr="00D57C74">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4D82A260" w14:textId="77777777" w:rsidR="00D57C74" w:rsidRDefault="00D57C74" w:rsidP="00D57C74">
      <w:pPr>
        <w:pStyle w:val="af5"/>
        <w:numPr>
          <w:ilvl w:val="0"/>
          <w:numId w:val="33"/>
        </w:numPr>
        <w:spacing w:before="120"/>
        <w:ind w:left="690" w:hanging="240"/>
        <w:rPr>
          <w:rFonts w:ascii="等线" w:eastAsia="等线" w:hAnsi="Times New Roman"/>
          <w:color w:val="000000"/>
        </w:rPr>
      </w:pPr>
      <w:r w:rsidRPr="00D57C74">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7301D476" w14:textId="77777777" w:rsidR="00D57C74" w:rsidRDefault="00D57C74" w:rsidP="00D57C74">
      <w:pPr>
        <w:pStyle w:val="af5"/>
        <w:numPr>
          <w:ilvl w:val="0"/>
          <w:numId w:val="34"/>
        </w:numPr>
        <w:spacing w:before="120"/>
        <w:ind w:left="690" w:hanging="240"/>
        <w:rPr>
          <w:rFonts w:ascii="等线" w:eastAsia="等线" w:hAnsi="Times New Roman"/>
          <w:color w:val="000000"/>
        </w:rPr>
      </w:pPr>
      <w:r w:rsidRPr="00D57C74">
        <w:rPr>
          <w:rFonts w:ascii="等线" w:eastAsia="等线" w:hAnsi="Times New Roman"/>
          <w:color w:val="000000"/>
        </w:rPr>
        <w:t>Represented Anheart Therapeutics in granting an exclusive commercialization right with respect to Anheart</w:t>
      </w:r>
      <w:r w:rsidRPr="00D57C74">
        <w:rPr>
          <w:rFonts w:ascii="等线" w:eastAsia="等线" w:hAnsi="Times New Roman"/>
          <w:color w:val="000000"/>
        </w:rPr>
        <w:t>’</w:t>
      </w:r>
      <w:r w:rsidRPr="00D57C74">
        <w:rPr>
          <w:rFonts w:ascii="等线" w:eastAsia="等线" w:hAnsi="Times New Roman"/>
          <w:color w:val="000000"/>
        </w:rPr>
        <w:t>s lead drug candidate Taletrectinib to Innovent for PRC market and to Nippon Kayaku, a Japanese listed company, for Japan market, respectively.</w:t>
      </w:r>
    </w:p>
    <w:p w14:paraId="2B38DE4F" w14:textId="77777777" w:rsidR="00D57C74" w:rsidRDefault="00D57C74" w:rsidP="00D57C74">
      <w:pPr>
        <w:pStyle w:val="af5"/>
        <w:numPr>
          <w:ilvl w:val="0"/>
          <w:numId w:val="35"/>
        </w:numPr>
        <w:spacing w:before="120"/>
        <w:ind w:left="690" w:hanging="240"/>
        <w:rPr>
          <w:rFonts w:ascii="等线" w:eastAsia="等线" w:hAnsi="Times New Roman"/>
          <w:color w:val="000000"/>
        </w:rPr>
      </w:pPr>
      <w:r w:rsidRPr="00D57C74">
        <w:rPr>
          <w:rFonts w:ascii="等线" w:eastAsia="等线" w:hAnsi="Times New Roman"/>
          <w:color w:val="000000"/>
        </w:rPr>
        <w:t>Represented Sanegene Bio on its strategic collaboration with Huadong Medicine (0963.SZ) with respect to the siRNA drug development for chronic metabolic diseases.</w:t>
      </w:r>
    </w:p>
    <w:p w14:paraId="197C8D8E" w14:textId="77777777" w:rsidR="00D57C74" w:rsidRDefault="00D57C74" w:rsidP="00D57C74">
      <w:pPr>
        <w:pStyle w:val="af5"/>
        <w:spacing w:before="120"/>
        <w:rPr>
          <w:rFonts w:ascii="等线" w:eastAsia="等线" w:hAnsi="Times New Roman"/>
          <w:color w:val="000000"/>
        </w:rPr>
      </w:pPr>
      <w:r w:rsidRPr="00D57C74">
        <w:rPr>
          <w:rFonts w:ascii="等线" w:eastAsia="等线" w:hAnsi="Times New Roman"/>
          <w:color w:val="000000"/>
        </w:rPr>
        <w:t>Regulatory Advisory and General Corporate</w:t>
      </w:r>
    </w:p>
    <w:p w14:paraId="76D10157" w14:textId="77777777" w:rsidR="00D57C74" w:rsidRDefault="00D57C74" w:rsidP="00D57C74">
      <w:pPr>
        <w:pStyle w:val="af5"/>
        <w:numPr>
          <w:ilvl w:val="0"/>
          <w:numId w:val="36"/>
        </w:numPr>
        <w:spacing w:before="120"/>
        <w:ind w:left="690" w:hanging="240"/>
        <w:rPr>
          <w:rFonts w:ascii="等线" w:eastAsia="等线" w:hAnsi="Times New Roman"/>
          <w:color w:val="000000"/>
        </w:rPr>
      </w:pPr>
      <w:r w:rsidRPr="00D57C74">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MSD, Novartis AG, Roche Pharmaceuticals, Sanegene Bio, Swift Bridge Bio, InnoRNA, UCB, Vera Therapeutics, WuXi AppTec, Yiling Pharma and Zai Lab, on regulatory advisory and compliance matters arising from day-to-day operations, e.g., research and development projects, clinical trials, HGR (human genetic resources) matters, marketing authorization, drug product supply, distribution, advertising and promotion.</w:t>
      </w:r>
    </w:p>
    <w:p w14:paraId="2EC3A620" w14:textId="77777777" w:rsidR="00D57C74" w:rsidRDefault="00D57C74" w:rsidP="00D57C74">
      <w:pPr>
        <w:pStyle w:val="af5"/>
        <w:spacing w:before="120"/>
        <w:rPr>
          <w:rFonts w:ascii="等线" w:eastAsia="等线" w:hAnsi="Times New Roman"/>
          <w:color w:val="000000"/>
        </w:rPr>
      </w:pPr>
      <w:r w:rsidRPr="00D57C74">
        <w:rPr>
          <w:rFonts w:ascii="等线" w:eastAsia="等线" w:hAnsi="Times New Roman"/>
          <w:color w:val="000000"/>
        </w:rPr>
        <w:t>Merger &amp; Acquisitions, Venture Capital and Emerging Companies</w:t>
      </w:r>
    </w:p>
    <w:p w14:paraId="6C85ECA3" w14:textId="77777777" w:rsidR="00D57C74" w:rsidRDefault="00D57C74" w:rsidP="00D57C74">
      <w:pPr>
        <w:pStyle w:val="af5"/>
        <w:numPr>
          <w:ilvl w:val="0"/>
          <w:numId w:val="37"/>
        </w:numPr>
        <w:spacing w:before="120"/>
        <w:ind w:left="690" w:hanging="240"/>
        <w:rPr>
          <w:rFonts w:ascii="等线" w:eastAsia="等线" w:hAnsi="Times New Roman"/>
          <w:color w:val="000000"/>
        </w:rPr>
      </w:pPr>
      <w:r w:rsidRPr="00D57C74">
        <w:rPr>
          <w:rFonts w:ascii="等线" w:eastAsia="等线" w:hAnsi="Times New Roman"/>
          <w:color w:val="000000"/>
        </w:rPr>
        <w:t>Represented Sino Biopharma (1177.HK) in its full acquisition of Hygieia (a domestic innovative drug company in the small interfering RNA (siRNA) field).</w:t>
      </w:r>
    </w:p>
    <w:p w14:paraId="0E6EB259" w14:textId="77777777" w:rsidR="00D57C74" w:rsidRDefault="00D57C74" w:rsidP="00D57C74">
      <w:pPr>
        <w:pStyle w:val="af5"/>
        <w:numPr>
          <w:ilvl w:val="0"/>
          <w:numId w:val="38"/>
        </w:numPr>
        <w:spacing w:before="120"/>
        <w:ind w:left="690" w:hanging="240"/>
        <w:rPr>
          <w:rFonts w:ascii="等线" w:eastAsia="等线" w:hAnsi="Times New Roman"/>
          <w:color w:val="000000"/>
        </w:rPr>
      </w:pPr>
      <w:r w:rsidRPr="00D57C74">
        <w:rPr>
          <w:rFonts w:ascii="等线" w:eastAsia="等线" w:hAnsi="Times New Roman"/>
          <w:color w:val="000000"/>
        </w:rPr>
        <w:t>Represented AnHeart Therapeutics in Nuvation Bio (NUVB, NYSE)</w:t>
      </w:r>
      <w:r w:rsidRPr="00D57C74">
        <w:rPr>
          <w:rFonts w:ascii="等线" w:eastAsia="等线" w:hAnsi="Times New Roman"/>
          <w:color w:val="000000"/>
        </w:rPr>
        <w:t>’</w:t>
      </w:r>
      <w:r w:rsidRPr="00D57C74">
        <w:rPr>
          <w:rFonts w:ascii="等线" w:eastAsia="等线" w:hAnsi="Times New Roman"/>
          <w:color w:val="000000"/>
        </w:rPr>
        <w:t>s acquisition of AnHeart Therapeutics in an all-stock transaction.</w:t>
      </w:r>
    </w:p>
    <w:p w14:paraId="4B12E834" w14:textId="77777777" w:rsidR="00D57C74" w:rsidRDefault="00D57C74" w:rsidP="00D57C74">
      <w:pPr>
        <w:pStyle w:val="af5"/>
        <w:numPr>
          <w:ilvl w:val="0"/>
          <w:numId w:val="39"/>
        </w:numPr>
        <w:spacing w:before="120"/>
        <w:ind w:left="690" w:hanging="240"/>
        <w:rPr>
          <w:rFonts w:ascii="等线" w:eastAsia="等线" w:hAnsi="Times New Roman"/>
          <w:color w:val="000000"/>
        </w:rPr>
      </w:pPr>
      <w:r w:rsidRPr="00D57C74">
        <w:rPr>
          <w:rFonts w:ascii="等线" w:eastAsia="等线" w:hAnsi="Times New Roman"/>
          <w:color w:val="000000"/>
        </w:rPr>
        <w:t>Represented CStone Pharmaceuticals in Series B financing, pre-IPO restructuring, licensing, early-stage collaboration and offshore/onshore ESOP-related matters.</w:t>
      </w:r>
    </w:p>
    <w:p w14:paraId="3415029B" w14:textId="77777777" w:rsidR="00D57C74" w:rsidRDefault="00D57C74" w:rsidP="00D57C74">
      <w:pPr>
        <w:pStyle w:val="af5"/>
        <w:numPr>
          <w:ilvl w:val="0"/>
          <w:numId w:val="40"/>
        </w:numPr>
        <w:spacing w:before="120"/>
        <w:ind w:left="690" w:hanging="240"/>
        <w:rPr>
          <w:rFonts w:ascii="等线" w:eastAsia="等线" w:hAnsi="Times New Roman"/>
          <w:color w:val="000000"/>
        </w:rPr>
      </w:pPr>
      <w:r w:rsidRPr="00D57C74">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30F20D42" w14:textId="77777777" w:rsidR="00D57C74" w:rsidRDefault="00D57C74" w:rsidP="00D57C74">
      <w:pPr>
        <w:pStyle w:val="af5"/>
        <w:numPr>
          <w:ilvl w:val="0"/>
          <w:numId w:val="41"/>
        </w:numPr>
        <w:spacing w:before="120"/>
        <w:ind w:left="690" w:hanging="240"/>
        <w:rPr>
          <w:rFonts w:ascii="等线" w:eastAsia="等线" w:hAnsi="Times New Roman"/>
          <w:color w:val="000000"/>
        </w:rPr>
      </w:pPr>
      <w:r w:rsidRPr="00D57C74">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1F4536E1" w14:textId="77777777" w:rsidR="00D57C74" w:rsidRDefault="00D57C74" w:rsidP="00D57C74">
      <w:pPr>
        <w:pStyle w:val="af5"/>
        <w:numPr>
          <w:ilvl w:val="0"/>
          <w:numId w:val="42"/>
        </w:numPr>
        <w:spacing w:before="120"/>
        <w:ind w:left="690" w:hanging="240"/>
        <w:rPr>
          <w:rFonts w:ascii="等线" w:eastAsia="等线" w:hAnsi="Times New Roman"/>
          <w:color w:val="000000"/>
        </w:rPr>
      </w:pPr>
      <w:r w:rsidRPr="00D57C74">
        <w:rPr>
          <w:rFonts w:ascii="等线" w:eastAsia="等线" w:hAnsi="Times New Roman"/>
          <w:color w:val="000000"/>
        </w:rPr>
        <w:t>Represented ABM Therapeutics in its Series A financing and general corporate matters.</w:t>
      </w:r>
    </w:p>
    <w:p w14:paraId="7045F72C" w14:textId="77777777" w:rsidR="00D57C74" w:rsidRDefault="00D57C74" w:rsidP="00D57C74">
      <w:pPr>
        <w:pStyle w:val="af5"/>
        <w:numPr>
          <w:ilvl w:val="0"/>
          <w:numId w:val="43"/>
        </w:numPr>
        <w:spacing w:before="120"/>
        <w:ind w:left="690" w:hanging="240"/>
        <w:rPr>
          <w:rFonts w:ascii="等线" w:eastAsia="等线" w:hAnsi="Times New Roman"/>
          <w:color w:val="000000"/>
        </w:rPr>
      </w:pPr>
      <w:r w:rsidRPr="00D57C74">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506C01FA" w14:textId="77777777" w:rsidR="00D57C74" w:rsidRDefault="00D57C74" w:rsidP="00D57C74">
      <w:pPr>
        <w:pStyle w:val="af5"/>
        <w:numPr>
          <w:ilvl w:val="0"/>
          <w:numId w:val="44"/>
        </w:numPr>
        <w:spacing w:before="120"/>
        <w:ind w:left="690" w:hanging="240"/>
        <w:rPr>
          <w:rFonts w:ascii="等线" w:eastAsia="等线" w:hAnsi="Times New Roman"/>
          <w:color w:val="000000"/>
        </w:rPr>
      </w:pPr>
      <w:r w:rsidRPr="00D57C74">
        <w:rPr>
          <w:rFonts w:ascii="等线" w:eastAsia="等线" w:hAnsi="Times New Roman"/>
          <w:color w:val="000000"/>
        </w:rPr>
        <w:t>Represented Qiming Ventures in its investment as lead investor in Series A financing of NeuHyll Therapeutics Inc.</w:t>
      </w:r>
    </w:p>
    <w:p w14:paraId="5E625F71" w14:textId="77777777" w:rsidR="00D57C74" w:rsidRDefault="00D57C74" w:rsidP="00D57C74">
      <w:pPr>
        <w:pStyle w:val="af5"/>
        <w:numPr>
          <w:ilvl w:val="0"/>
          <w:numId w:val="45"/>
        </w:numPr>
        <w:spacing w:before="120"/>
        <w:ind w:left="690" w:hanging="240"/>
        <w:rPr>
          <w:rFonts w:ascii="等线" w:eastAsia="等线" w:hAnsi="Times New Roman"/>
          <w:color w:val="000000"/>
        </w:rPr>
      </w:pPr>
      <w:r w:rsidRPr="00D57C74">
        <w:rPr>
          <w:rFonts w:ascii="等线" w:eastAsia="等线" w:hAnsi="Times New Roman"/>
          <w:color w:val="000000"/>
        </w:rPr>
        <w:t>Represented BioTrack Capital in its investment as lead investor in Series Angel and Series Pre-A financings of SciBrunch Therapeutics.</w:t>
      </w:r>
    </w:p>
    <w:p w14:paraId="27358804" w14:textId="77777777" w:rsidR="00D57C74" w:rsidRDefault="00D57C74" w:rsidP="00D57C74">
      <w:pPr>
        <w:pStyle w:val="af5"/>
        <w:numPr>
          <w:ilvl w:val="0"/>
          <w:numId w:val="46"/>
        </w:numPr>
        <w:spacing w:before="120"/>
        <w:ind w:left="690" w:hanging="240"/>
        <w:rPr>
          <w:rFonts w:ascii="等线" w:eastAsia="等线" w:hAnsi="Times New Roman"/>
          <w:color w:val="000000"/>
        </w:rPr>
      </w:pPr>
      <w:r w:rsidRPr="00D57C74">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3C8499C4" w14:textId="77777777" w:rsidR="00D57C74" w:rsidRDefault="00D57C74" w:rsidP="00D57C74">
      <w:pPr>
        <w:pStyle w:val="af5"/>
        <w:numPr>
          <w:ilvl w:val="0"/>
          <w:numId w:val="47"/>
        </w:numPr>
        <w:spacing w:before="120"/>
        <w:ind w:left="690" w:hanging="240"/>
        <w:rPr>
          <w:rFonts w:ascii="等线" w:eastAsia="等线" w:hAnsi="Times New Roman"/>
          <w:color w:val="000000"/>
        </w:rPr>
      </w:pPr>
      <w:r w:rsidRPr="00D57C74">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78FFFE46" w14:textId="77777777" w:rsidR="00D57C74" w:rsidRDefault="00D57C74" w:rsidP="00D57C74">
      <w:pPr>
        <w:pStyle w:val="af5"/>
        <w:numPr>
          <w:ilvl w:val="0"/>
          <w:numId w:val="48"/>
        </w:numPr>
        <w:spacing w:before="120"/>
        <w:ind w:left="690" w:hanging="240"/>
        <w:rPr>
          <w:rFonts w:ascii="等线" w:eastAsia="等线" w:hAnsi="Times New Roman"/>
          <w:color w:val="000000"/>
        </w:rPr>
      </w:pPr>
      <w:r w:rsidRPr="00D57C74">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10F91847" w14:textId="77777777" w:rsidR="00D57C74" w:rsidRDefault="00D57C74" w:rsidP="00D57C74">
      <w:pPr>
        <w:pStyle w:val="af5"/>
        <w:numPr>
          <w:ilvl w:val="0"/>
          <w:numId w:val="49"/>
        </w:numPr>
        <w:spacing w:before="120"/>
        <w:ind w:left="690" w:hanging="240"/>
        <w:rPr>
          <w:rFonts w:ascii="等线" w:eastAsia="等线" w:hAnsi="Times New Roman"/>
          <w:color w:val="000000"/>
        </w:rPr>
      </w:pPr>
      <w:r w:rsidRPr="00D57C74">
        <w:rPr>
          <w:rFonts w:ascii="等线" w:eastAsia="等线" w:hAnsi="Times New Roman"/>
          <w:color w:val="000000"/>
        </w:rPr>
        <w:t>Represented various venture capital funds including Eight Roads Ventures, BioTrack Capital, Shanghai Healthcare Capital, Qiming Ventures, Yunfeng Capital, OrbiMed, GGV, Matrix China Partners, Decheng Capital in investments/exit transactions across life science, healthcare, e-commerce, financial services, telecommunication and education sectors.</w:t>
      </w:r>
    </w:p>
    <w:p w14:paraId="64BE1911" w14:textId="77777777" w:rsidR="00D57C74" w:rsidRDefault="00D57C74" w:rsidP="00D57C74">
      <w:pPr>
        <w:pStyle w:val="af5"/>
        <w:numPr>
          <w:ilvl w:val="0"/>
          <w:numId w:val="50"/>
        </w:numPr>
        <w:spacing w:before="120"/>
        <w:ind w:left="690" w:hanging="240"/>
        <w:rPr>
          <w:rFonts w:ascii="等线" w:eastAsia="等线" w:hAnsi="Times New Roman"/>
          <w:color w:val="000000"/>
        </w:rPr>
      </w:pPr>
      <w:r w:rsidRPr="00D57C74">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37974A3F"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Education</w:t>
      </w:r>
    </w:p>
    <w:p w14:paraId="4FC2B593" w14:textId="77777777" w:rsidR="00D57C74" w:rsidRDefault="00D57C74" w:rsidP="00D57C74">
      <w:pPr>
        <w:pStyle w:val="af5"/>
        <w:numPr>
          <w:ilvl w:val="0"/>
          <w:numId w:val="51"/>
        </w:numPr>
        <w:spacing w:before="120"/>
        <w:ind w:left="690" w:hanging="240"/>
        <w:rPr>
          <w:rFonts w:ascii="等线" w:eastAsia="等线" w:hAnsi="Times New Roman"/>
          <w:color w:val="000000"/>
        </w:rPr>
      </w:pPr>
      <w:r w:rsidRPr="00D57C74">
        <w:rPr>
          <w:rFonts w:ascii="等线" w:eastAsia="等线" w:hAnsi="Times New Roman"/>
          <w:color w:val="000000"/>
        </w:rPr>
        <w:t>East China University of Political Sciences and Law, LL.B; LL.M</w:t>
      </w:r>
    </w:p>
    <w:p w14:paraId="57FEE663" w14:textId="77777777" w:rsidR="00D57C74" w:rsidRDefault="00D57C74" w:rsidP="00D57C74">
      <w:pPr>
        <w:pStyle w:val="af5"/>
        <w:numPr>
          <w:ilvl w:val="0"/>
          <w:numId w:val="52"/>
        </w:numPr>
        <w:spacing w:before="120"/>
        <w:ind w:left="690" w:hanging="240"/>
        <w:rPr>
          <w:rFonts w:ascii="等线" w:eastAsia="等线" w:hAnsi="Times New Roman"/>
          <w:color w:val="000000"/>
        </w:rPr>
      </w:pPr>
      <w:r w:rsidRPr="00D57C74">
        <w:rPr>
          <w:rFonts w:ascii="等线" w:eastAsia="等线" w:hAnsi="Times New Roman"/>
          <w:color w:val="000000"/>
        </w:rPr>
        <w:t>University of Wisconsin-Madison, LL.M</w:t>
      </w:r>
    </w:p>
    <w:p w14:paraId="4CC2FC2C"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Professional Qualification</w:t>
      </w:r>
    </w:p>
    <w:p w14:paraId="7300FC53" w14:textId="77777777" w:rsidR="00D57C74" w:rsidRDefault="00D57C74" w:rsidP="00D57C74">
      <w:pPr>
        <w:pStyle w:val="af5"/>
        <w:numPr>
          <w:ilvl w:val="0"/>
          <w:numId w:val="53"/>
        </w:numPr>
        <w:spacing w:before="120"/>
        <w:ind w:left="690" w:hanging="240"/>
        <w:rPr>
          <w:rFonts w:ascii="等线" w:eastAsia="等线" w:hAnsi="Times New Roman"/>
          <w:color w:val="000000"/>
        </w:rPr>
      </w:pPr>
      <w:r w:rsidRPr="00D57C74">
        <w:rPr>
          <w:rFonts w:ascii="等线" w:eastAsia="等线" w:hAnsi="Times New Roman"/>
          <w:color w:val="000000"/>
        </w:rPr>
        <w:t>Admitted to practice in Massachusetts</w:t>
      </w:r>
    </w:p>
    <w:p w14:paraId="28CE147E" w14:textId="77777777" w:rsidR="00D57C74" w:rsidRDefault="00D57C74" w:rsidP="00D57C74">
      <w:pPr>
        <w:pStyle w:val="af5"/>
        <w:numPr>
          <w:ilvl w:val="0"/>
          <w:numId w:val="54"/>
        </w:numPr>
        <w:spacing w:before="120"/>
        <w:ind w:left="690" w:hanging="240"/>
        <w:rPr>
          <w:rFonts w:ascii="等线" w:eastAsia="等线" w:hAnsi="Times New Roman"/>
          <w:color w:val="000000"/>
        </w:rPr>
      </w:pPr>
      <w:r w:rsidRPr="00D57C74">
        <w:rPr>
          <w:rFonts w:ascii="等线" w:eastAsia="等线" w:hAnsi="Times New Roman"/>
          <w:color w:val="000000"/>
        </w:rPr>
        <w:t>Admitted to practice in PRC</w:t>
      </w:r>
    </w:p>
    <w:p w14:paraId="19F89A49"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Work Language</w:t>
      </w:r>
    </w:p>
    <w:p w14:paraId="22512316" w14:textId="77777777" w:rsidR="00D57C74" w:rsidRDefault="00D57C74" w:rsidP="00D57C74">
      <w:pPr>
        <w:pStyle w:val="af5"/>
        <w:numPr>
          <w:ilvl w:val="0"/>
          <w:numId w:val="55"/>
        </w:numPr>
        <w:spacing w:before="120"/>
        <w:ind w:left="690" w:hanging="240"/>
        <w:rPr>
          <w:rFonts w:ascii="等线" w:eastAsia="等线" w:hAnsi="Times New Roman"/>
          <w:color w:val="000000"/>
        </w:rPr>
      </w:pPr>
      <w:r w:rsidRPr="00D57C74">
        <w:rPr>
          <w:rFonts w:ascii="等线" w:eastAsia="等线" w:hAnsi="Times New Roman"/>
          <w:color w:val="000000"/>
        </w:rPr>
        <w:t>Mandarin</w:t>
      </w:r>
    </w:p>
    <w:p w14:paraId="5D7A835B" w14:textId="77777777" w:rsidR="00D57C74" w:rsidRDefault="00D57C74" w:rsidP="00D57C74">
      <w:pPr>
        <w:pStyle w:val="af5"/>
        <w:numPr>
          <w:ilvl w:val="0"/>
          <w:numId w:val="56"/>
        </w:numPr>
        <w:spacing w:before="120"/>
        <w:ind w:left="690" w:hanging="240"/>
        <w:rPr>
          <w:rFonts w:ascii="等线" w:eastAsia="等线" w:hAnsi="Times New Roman"/>
          <w:color w:val="000000"/>
        </w:rPr>
      </w:pPr>
      <w:r w:rsidRPr="00D57C74">
        <w:rPr>
          <w:rFonts w:ascii="等线" w:eastAsia="等线" w:hAnsi="Times New Roman"/>
          <w:color w:val="000000"/>
        </w:rPr>
        <w:t>English</w:t>
      </w:r>
    </w:p>
    <w:p w14:paraId="1A5FBCAF"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Professional Background</w:t>
      </w:r>
    </w:p>
    <w:p w14:paraId="792B14C3" w14:textId="77777777" w:rsidR="00D57C74" w:rsidRDefault="00D57C74" w:rsidP="00D57C74">
      <w:pPr>
        <w:pStyle w:val="af5"/>
        <w:numPr>
          <w:ilvl w:val="0"/>
          <w:numId w:val="57"/>
        </w:numPr>
        <w:spacing w:before="120"/>
        <w:ind w:left="690" w:hanging="240"/>
        <w:rPr>
          <w:rFonts w:ascii="等线" w:eastAsia="等线" w:hAnsi="Times New Roman"/>
          <w:color w:val="000000"/>
        </w:rPr>
      </w:pPr>
      <w:r w:rsidRPr="00D57C74">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5CB80A1D"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OTHER INFORMATION</w:t>
      </w:r>
    </w:p>
    <w:p w14:paraId="274DC388" w14:textId="77777777" w:rsidR="00D57C74" w:rsidRDefault="00D57C74" w:rsidP="00D57C74">
      <w:pPr>
        <w:pStyle w:val="af5"/>
        <w:spacing w:after="0" w:line="480" w:lineRule="auto"/>
        <w:rPr>
          <w:rFonts w:ascii="等线" w:eastAsia="等线" w:hAnsi="等线"/>
          <w:b/>
          <w:sz w:val="24"/>
        </w:rPr>
      </w:pPr>
      <w:r w:rsidRPr="00D57C74">
        <w:rPr>
          <w:rFonts w:ascii="等线" w:eastAsia="等线" w:hAnsi="等线"/>
          <w:b/>
          <w:sz w:val="24"/>
        </w:rPr>
        <w:t>Publications</w:t>
      </w:r>
    </w:p>
    <w:p w14:paraId="73E1C4D2" w14:textId="77777777" w:rsidR="00D57C74" w:rsidRDefault="00D57C74" w:rsidP="00D57C74">
      <w:pPr>
        <w:pStyle w:val="af5"/>
        <w:numPr>
          <w:ilvl w:val="0"/>
          <w:numId w:val="58"/>
        </w:numPr>
        <w:spacing w:before="120"/>
        <w:ind w:left="690" w:hanging="240"/>
        <w:rPr>
          <w:rFonts w:ascii="等线" w:eastAsia="等线" w:hAnsi="Times New Roman"/>
          <w:color w:val="000000"/>
        </w:rPr>
      </w:pPr>
      <w:r w:rsidRPr="00D57C74">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72AC13DD" w14:textId="77777777" w:rsidR="00D57C74" w:rsidRDefault="00D57C74" w:rsidP="00D57C74">
      <w:pPr>
        <w:pStyle w:val="af5"/>
        <w:numPr>
          <w:ilvl w:val="0"/>
          <w:numId w:val="59"/>
        </w:numPr>
        <w:spacing w:before="120"/>
        <w:ind w:left="690" w:hanging="240"/>
        <w:rPr>
          <w:rFonts w:ascii="等线" w:eastAsia="等线" w:hAnsi="Times New Roman"/>
          <w:color w:val="000000"/>
        </w:rPr>
      </w:pPr>
      <w:r w:rsidRPr="00D57C74">
        <w:rPr>
          <w:rFonts w:ascii="等线" w:eastAsia="等线" w:hAnsi="Times New Roman"/>
          <w:color w:val="000000"/>
        </w:rPr>
        <w:t xml:space="preserve">Co-author, "China life sciences: Transaction insights and notable industry trends", Legal 500 (February 2024)(2) </w:t>
      </w:r>
    </w:p>
    <w:p w14:paraId="5567FC3C" w14:textId="1020A4A5" w:rsidR="00686369" w:rsidRPr="00D57C74" w:rsidRDefault="00D57C74" w:rsidP="00D57C74">
      <w:pPr>
        <w:pStyle w:val="af5"/>
        <w:numPr>
          <w:ilvl w:val="0"/>
          <w:numId w:val="60"/>
        </w:numPr>
        <w:spacing w:before="120"/>
        <w:ind w:left="690" w:hanging="240"/>
        <w:rPr>
          <w:rFonts w:ascii="等线" w:eastAsia="等线" w:hAnsi="Times New Roman"/>
          <w:color w:val="000000"/>
        </w:rPr>
      </w:pPr>
      <w:r w:rsidRPr="00D57C74">
        <w:rPr>
          <w:rFonts w:ascii="等线" w:eastAsia="等线" w:hAnsi="Times New Roman"/>
          <w:color w:val="000000"/>
        </w:rPr>
        <w:t xml:space="preserve">Co-author, "Life Sciences Yearbook 2024: China life sciences Q&amp;A ", Legal 500 (February 2024)(3) </w:t>
      </w:r>
    </w:p>
    <w:sectPr w:rsidR="00686369" w:rsidRPr="00D57C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7A8D"/>
    <w:multiLevelType w:val="singleLevel"/>
    <w:tmpl w:val="ED44DE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0A2AB9"/>
    <w:multiLevelType w:val="singleLevel"/>
    <w:tmpl w:val="240088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5752E"/>
    <w:multiLevelType w:val="singleLevel"/>
    <w:tmpl w:val="A8728A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1285F"/>
    <w:multiLevelType w:val="singleLevel"/>
    <w:tmpl w:val="39C0D6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D6A5D"/>
    <w:multiLevelType w:val="singleLevel"/>
    <w:tmpl w:val="A4C0DF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514A6"/>
    <w:multiLevelType w:val="singleLevel"/>
    <w:tmpl w:val="F70084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F9075F"/>
    <w:multiLevelType w:val="singleLevel"/>
    <w:tmpl w:val="401259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E48A3"/>
    <w:multiLevelType w:val="singleLevel"/>
    <w:tmpl w:val="458C77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247B45"/>
    <w:multiLevelType w:val="singleLevel"/>
    <w:tmpl w:val="6568B0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CA0557"/>
    <w:multiLevelType w:val="singleLevel"/>
    <w:tmpl w:val="5FAA54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C95A60"/>
    <w:multiLevelType w:val="singleLevel"/>
    <w:tmpl w:val="503450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DD0E18"/>
    <w:multiLevelType w:val="singleLevel"/>
    <w:tmpl w:val="9ADC88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833BF2"/>
    <w:multiLevelType w:val="singleLevel"/>
    <w:tmpl w:val="320A14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0672E3"/>
    <w:multiLevelType w:val="singleLevel"/>
    <w:tmpl w:val="9EB04C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247E8"/>
    <w:multiLevelType w:val="singleLevel"/>
    <w:tmpl w:val="4F90DC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185E2A"/>
    <w:multiLevelType w:val="singleLevel"/>
    <w:tmpl w:val="E60018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E87E96"/>
    <w:multiLevelType w:val="singleLevel"/>
    <w:tmpl w:val="8DC06F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EA321F"/>
    <w:multiLevelType w:val="singleLevel"/>
    <w:tmpl w:val="67B03C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471CDE"/>
    <w:multiLevelType w:val="singleLevel"/>
    <w:tmpl w:val="3CCA7B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353036"/>
    <w:multiLevelType w:val="singleLevel"/>
    <w:tmpl w:val="01EAD9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1664C3"/>
    <w:multiLevelType w:val="singleLevel"/>
    <w:tmpl w:val="1C0EC7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E76557"/>
    <w:multiLevelType w:val="singleLevel"/>
    <w:tmpl w:val="2CBA5BF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DD2967"/>
    <w:multiLevelType w:val="singleLevel"/>
    <w:tmpl w:val="B282A0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0C3A42"/>
    <w:multiLevelType w:val="singleLevel"/>
    <w:tmpl w:val="9934DC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680902"/>
    <w:multiLevelType w:val="singleLevel"/>
    <w:tmpl w:val="4D6C9A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C14930"/>
    <w:multiLevelType w:val="singleLevel"/>
    <w:tmpl w:val="5172D8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CE02D9"/>
    <w:multiLevelType w:val="singleLevel"/>
    <w:tmpl w:val="90AA62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EC1FB0"/>
    <w:multiLevelType w:val="singleLevel"/>
    <w:tmpl w:val="6D2CB4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362494"/>
    <w:multiLevelType w:val="singleLevel"/>
    <w:tmpl w:val="5CCEE0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143F98"/>
    <w:multiLevelType w:val="singleLevel"/>
    <w:tmpl w:val="61740D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CD415D"/>
    <w:multiLevelType w:val="singleLevel"/>
    <w:tmpl w:val="E0BC44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EA5582"/>
    <w:multiLevelType w:val="singleLevel"/>
    <w:tmpl w:val="661244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357215"/>
    <w:multiLevelType w:val="singleLevel"/>
    <w:tmpl w:val="61F8FE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C34ECC"/>
    <w:multiLevelType w:val="singleLevel"/>
    <w:tmpl w:val="16B0D1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A13FBF"/>
    <w:multiLevelType w:val="singleLevel"/>
    <w:tmpl w:val="33F82E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25644C"/>
    <w:multiLevelType w:val="singleLevel"/>
    <w:tmpl w:val="08A63C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952C8A"/>
    <w:multiLevelType w:val="singleLevel"/>
    <w:tmpl w:val="07442BC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AF6842"/>
    <w:multiLevelType w:val="singleLevel"/>
    <w:tmpl w:val="890AD7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2E6C5F"/>
    <w:multiLevelType w:val="singleLevel"/>
    <w:tmpl w:val="1A407B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F93546"/>
    <w:multiLevelType w:val="singleLevel"/>
    <w:tmpl w:val="A4302C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FE3F7A"/>
    <w:multiLevelType w:val="singleLevel"/>
    <w:tmpl w:val="6BFE7F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210CBB"/>
    <w:multiLevelType w:val="singleLevel"/>
    <w:tmpl w:val="68448B1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C40047"/>
    <w:multiLevelType w:val="singleLevel"/>
    <w:tmpl w:val="9DA43A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5A7ABF"/>
    <w:multiLevelType w:val="singleLevel"/>
    <w:tmpl w:val="A1A2637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717959"/>
    <w:multiLevelType w:val="singleLevel"/>
    <w:tmpl w:val="A188608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0D38F7"/>
    <w:multiLevelType w:val="singleLevel"/>
    <w:tmpl w:val="168429C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CA457BF"/>
    <w:multiLevelType w:val="singleLevel"/>
    <w:tmpl w:val="86783F0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346D8D"/>
    <w:multiLevelType w:val="singleLevel"/>
    <w:tmpl w:val="376A487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B84FE9"/>
    <w:multiLevelType w:val="singleLevel"/>
    <w:tmpl w:val="5F56FCF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01966B0"/>
    <w:multiLevelType w:val="singleLevel"/>
    <w:tmpl w:val="53D0CFC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4F97870"/>
    <w:multiLevelType w:val="singleLevel"/>
    <w:tmpl w:val="21BA4B5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5397B8D"/>
    <w:multiLevelType w:val="singleLevel"/>
    <w:tmpl w:val="03A0689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200A0B"/>
    <w:multiLevelType w:val="singleLevel"/>
    <w:tmpl w:val="5692A17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C930E27"/>
    <w:multiLevelType w:val="singleLevel"/>
    <w:tmpl w:val="9EE6775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C9E4B43"/>
    <w:multiLevelType w:val="singleLevel"/>
    <w:tmpl w:val="9EB04C2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D0C45A8"/>
    <w:multiLevelType w:val="singleLevel"/>
    <w:tmpl w:val="E50EEBF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C1692D"/>
    <w:multiLevelType w:val="singleLevel"/>
    <w:tmpl w:val="985A420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9AA4542"/>
    <w:multiLevelType w:val="singleLevel"/>
    <w:tmpl w:val="4440A2E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2E3B9C"/>
    <w:multiLevelType w:val="singleLevel"/>
    <w:tmpl w:val="1646EE5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F45728"/>
    <w:multiLevelType w:val="singleLevel"/>
    <w:tmpl w:val="EFB81456"/>
    <w:lvl w:ilvl="0">
      <w:start w:val="1"/>
      <w:numFmt w:val="bullet"/>
      <w:lvlText w:val=""/>
      <w:lvlJc w:val="left"/>
      <w:pPr>
        <w:tabs>
          <w:tab w:val="num" w:pos="200"/>
        </w:tabs>
        <w:ind w:left="200" w:hanging="200"/>
      </w:pPr>
      <w:rPr>
        <w:rFonts w:ascii="Wingdings" w:hAnsi="Wingdings" w:hint="default"/>
        <w:sz w:val="16"/>
      </w:rPr>
    </w:lvl>
  </w:abstractNum>
  <w:num w:numId="1">
    <w:abstractNumId w:val="39"/>
  </w:num>
  <w:num w:numId="2">
    <w:abstractNumId w:val="37"/>
  </w:num>
  <w:num w:numId="3">
    <w:abstractNumId w:val="51"/>
  </w:num>
  <w:num w:numId="4">
    <w:abstractNumId w:val="47"/>
  </w:num>
  <w:num w:numId="5">
    <w:abstractNumId w:val="5"/>
  </w:num>
  <w:num w:numId="6">
    <w:abstractNumId w:val="40"/>
  </w:num>
  <w:num w:numId="7">
    <w:abstractNumId w:val="32"/>
  </w:num>
  <w:num w:numId="8">
    <w:abstractNumId w:val="34"/>
  </w:num>
  <w:num w:numId="9">
    <w:abstractNumId w:val="22"/>
  </w:num>
  <w:num w:numId="10">
    <w:abstractNumId w:val="14"/>
  </w:num>
  <w:num w:numId="11">
    <w:abstractNumId w:val="6"/>
  </w:num>
  <w:num w:numId="12">
    <w:abstractNumId w:val="19"/>
  </w:num>
  <w:num w:numId="13">
    <w:abstractNumId w:val="31"/>
  </w:num>
  <w:num w:numId="14">
    <w:abstractNumId w:val="49"/>
  </w:num>
  <w:num w:numId="15">
    <w:abstractNumId w:val="9"/>
  </w:num>
  <w:num w:numId="16">
    <w:abstractNumId w:val="23"/>
  </w:num>
  <w:num w:numId="17">
    <w:abstractNumId w:val="58"/>
  </w:num>
  <w:num w:numId="18">
    <w:abstractNumId w:val="44"/>
  </w:num>
  <w:num w:numId="19">
    <w:abstractNumId w:val="59"/>
  </w:num>
  <w:num w:numId="20">
    <w:abstractNumId w:val="24"/>
  </w:num>
  <w:num w:numId="21">
    <w:abstractNumId w:val="52"/>
  </w:num>
  <w:num w:numId="22">
    <w:abstractNumId w:val="15"/>
  </w:num>
  <w:num w:numId="23">
    <w:abstractNumId w:val="55"/>
  </w:num>
  <w:num w:numId="24">
    <w:abstractNumId w:val="42"/>
  </w:num>
  <w:num w:numId="25">
    <w:abstractNumId w:val="38"/>
  </w:num>
  <w:num w:numId="26">
    <w:abstractNumId w:val="29"/>
  </w:num>
  <w:num w:numId="27">
    <w:abstractNumId w:val="33"/>
  </w:num>
  <w:num w:numId="28">
    <w:abstractNumId w:val="4"/>
  </w:num>
  <w:num w:numId="29">
    <w:abstractNumId w:val="36"/>
  </w:num>
  <w:num w:numId="30">
    <w:abstractNumId w:val="41"/>
  </w:num>
  <w:num w:numId="31">
    <w:abstractNumId w:val="16"/>
  </w:num>
  <w:num w:numId="32">
    <w:abstractNumId w:val="45"/>
  </w:num>
  <w:num w:numId="33">
    <w:abstractNumId w:val="10"/>
  </w:num>
  <w:num w:numId="34">
    <w:abstractNumId w:val="2"/>
  </w:num>
  <w:num w:numId="35">
    <w:abstractNumId w:val="53"/>
  </w:num>
  <w:num w:numId="36">
    <w:abstractNumId w:val="50"/>
  </w:num>
  <w:num w:numId="37">
    <w:abstractNumId w:val="28"/>
  </w:num>
  <w:num w:numId="38">
    <w:abstractNumId w:val="48"/>
  </w:num>
  <w:num w:numId="39">
    <w:abstractNumId w:val="35"/>
  </w:num>
  <w:num w:numId="40">
    <w:abstractNumId w:val="8"/>
  </w:num>
  <w:num w:numId="41">
    <w:abstractNumId w:val="7"/>
  </w:num>
  <w:num w:numId="42">
    <w:abstractNumId w:val="43"/>
  </w:num>
  <w:num w:numId="43">
    <w:abstractNumId w:val="30"/>
  </w:num>
  <w:num w:numId="44">
    <w:abstractNumId w:val="21"/>
  </w:num>
  <w:num w:numId="45">
    <w:abstractNumId w:val="57"/>
  </w:num>
  <w:num w:numId="46">
    <w:abstractNumId w:val="17"/>
  </w:num>
  <w:num w:numId="47">
    <w:abstractNumId w:val="25"/>
  </w:num>
  <w:num w:numId="48">
    <w:abstractNumId w:val="18"/>
  </w:num>
  <w:num w:numId="49">
    <w:abstractNumId w:val="27"/>
  </w:num>
  <w:num w:numId="50">
    <w:abstractNumId w:val="11"/>
  </w:num>
  <w:num w:numId="51">
    <w:abstractNumId w:val="20"/>
  </w:num>
  <w:num w:numId="52">
    <w:abstractNumId w:val="1"/>
  </w:num>
  <w:num w:numId="53">
    <w:abstractNumId w:val="46"/>
  </w:num>
  <w:num w:numId="54">
    <w:abstractNumId w:val="56"/>
  </w:num>
  <w:num w:numId="55">
    <w:abstractNumId w:val="26"/>
  </w:num>
  <w:num w:numId="56">
    <w:abstractNumId w:val="3"/>
  </w:num>
  <w:num w:numId="57">
    <w:abstractNumId w:val="0"/>
  </w:num>
  <w:num w:numId="58">
    <w:abstractNumId w:val="12"/>
  </w:num>
  <w:num w:numId="59">
    <w:abstractNumId w:val="13"/>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57C74"/>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7C74"/>
    <w:pPr>
      <w:spacing w:after="120"/>
    </w:pPr>
  </w:style>
  <w:style w:type="character" w:customStyle="1" w:styleId="af6">
    <w:name w:val="正文文本 字符"/>
    <w:basedOn w:val="a0"/>
    <w:link w:val="af5"/>
    <w:uiPriority w:val="99"/>
    <w:rsid w:val="00D57C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3C3C2-E628-4A71-9F8D-333C26E4B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2026-07-16T10:23:00Z</dcterms:created>
  <dcterms:modified xsi:type="dcterms:W3CDTF">2026-07-16T10:23:00Z</dcterms:modified>
</cp:coreProperties>
</file>