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06792F99" w:rsidR="0049405C" w:rsidRPr="00C24D79" w:rsidRDefault="00542FFB" w:rsidP="00542FFB">
            <w:pPr>
              <w:spacing w:line="720" w:lineRule="auto"/>
              <w:rPr>
                <w:rFonts w:eastAsiaTheme="minorHAnsi"/>
                <w:color w:val="545551"/>
              </w:rPr>
            </w:pPr>
            <w:bookmarkStart w:id="0" w:name="xingming"/>
            <w:bookmarkStart w:id="1" w:name="_GoBack"/>
            <w:bookmarkEnd w:id="1"/>
            <w:r w:rsidRPr="00542FFB">
              <w:rPr>
                <w:rFonts w:ascii="等线" w:eastAsia="等线" w:hAnsi="Times New Roman"/>
                <w:b/>
                <w:color w:val="000000"/>
                <w:sz w:val="48"/>
              </w:rPr>
              <w:t>XIONGCHAO (PETER) CHEN</w:t>
            </w:r>
            <w:bookmarkEnd w:id="0"/>
          </w:p>
          <w:p w14:paraId="706EB16B" w14:textId="7223BD0C" w:rsidR="0049405C" w:rsidRPr="00C24D79" w:rsidRDefault="00542FFB" w:rsidP="00542FFB">
            <w:pPr>
              <w:spacing w:line="360" w:lineRule="auto"/>
              <w:rPr>
                <w:rFonts w:eastAsiaTheme="minorHAnsi"/>
                <w:b/>
                <w:bCs/>
                <w:color w:val="545551"/>
              </w:rPr>
            </w:pPr>
            <w:bookmarkStart w:id="2" w:name="didian"/>
            <w:r w:rsidRPr="00542FFB">
              <w:rPr>
                <w:rFonts w:ascii="等线" w:eastAsia="等线" w:hAnsi="Times New Roman"/>
                <w:b/>
                <w:bCs/>
                <w:color w:val="000000"/>
              </w:rPr>
              <w:t>Counsel</w:t>
            </w:r>
            <w:r w:rsidRPr="00542FFB">
              <w:rPr>
                <w:rFonts w:ascii="等线" w:eastAsia="等线" w:hAnsi="Times New Roman"/>
                <w:b/>
                <w:bCs/>
                <w:color w:val="000000"/>
              </w:rPr>
              <w:t>·</w:t>
            </w:r>
            <w:r w:rsidRPr="00542FFB">
              <w:rPr>
                <w:rFonts w:ascii="等线" w:eastAsia="等线" w:hAnsi="Times New Roman"/>
                <w:b/>
                <w:bCs/>
                <w:color w:val="000000"/>
              </w:rPr>
              <w:t>Hong Kong</w:t>
            </w:r>
            <w:bookmarkEnd w:id="2"/>
          </w:p>
          <w:p w14:paraId="6199424A" w14:textId="6018659A" w:rsidR="0049405C" w:rsidRPr="00C24D79" w:rsidRDefault="00542FFB" w:rsidP="00542FFB">
            <w:pPr>
              <w:spacing w:line="360" w:lineRule="auto"/>
              <w:rPr>
                <w:rFonts w:eastAsiaTheme="minorHAnsi"/>
                <w:color w:val="545551"/>
              </w:rPr>
            </w:pPr>
            <w:bookmarkStart w:id="3" w:name="dianhua"/>
            <w:r w:rsidRPr="00542FFB">
              <w:rPr>
                <w:rFonts w:ascii="等线" w:eastAsia="等线" w:hAnsi="Times New Roman"/>
                <w:color w:val="000000"/>
              </w:rPr>
              <w:t xml:space="preserve">+852 3976 8855 </w:t>
            </w:r>
            <w:bookmarkEnd w:id="3"/>
          </w:p>
          <w:p w14:paraId="4F910ACA" w14:textId="22FEA2AF" w:rsidR="0049405C" w:rsidRPr="00C24D79" w:rsidRDefault="00542FFB" w:rsidP="00542FFB">
            <w:pPr>
              <w:spacing w:line="360" w:lineRule="auto"/>
              <w:rPr>
                <w:rFonts w:eastAsiaTheme="minorHAnsi"/>
                <w:color w:val="000000"/>
              </w:rPr>
            </w:pPr>
            <w:bookmarkStart w:id="4" w:name="youxiang"/>
            <w:r w:rsidRPr="00542FFB">
              <w:rPr>
                <w:rFonts w:ascii="等线" w:eastAsia="等线" w:hAnsi="Times New Roman"/>
                <w:color w:val="000000"/>
              </w:rPr>
              <w:t>xiongchao.chen@fangdalaw.com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685EA811" w:rsidR="0049405C" w:rsidRPr="00C24D79" w:rsidRDefault="00542FFB"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12628EFD" wp14:editId="54914A99">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1DB3CFF8" w:rsidR="009465FB" w:rsidRPr="00C24D79" w:rsidRDefault="00542FFB" w:rsidP="007177F3">
            <w:pPr>
              <w:rPr>
                <w:rFonts w:eastAsiaTheme="minorHAnsi"/>
                <w:color w:val="000000"/>
                <w:szCs w:val="21"/>
              </w:rPr>
            </w:pPr>
            <w:bookmarkStart w:id="6" w:name="zhiyelingyu"/>
            <w:r w:rsidRPr="00542FFB">
              <w:rPr>
                <w:rFonts w:ascii="等线" w:eastAsia="等线" w:hAnsi="Times New Roman"/>
                <w:color w:val="000000"/>
                <w:szCs w:val="21"/>
              </w:rPr>
              <w:t>DISPUTE RESOLUTION</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25D44BFD" w14:textId="77777777" w:rsidR="00542FFB"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30E0D563" w14:textId="77777777" w:rsidR="00542FFB" w:rsidRDefault="00542FFB" w:rsidP="00542FFB">
      <w:pPr>
        <w:pStyle w:val="af5"/>
        <w:spacing w:before="120"/>
        <w:rPr>
          <w:rFonts w:ascii="等线" w:eastAsia="等线" w:hAnsi="Times New Roman"/>
          <w:color w:val="000000"/>
        </w:rPr>
      </w:pPr>
      <w:r w:rsidRPr="00542FFB">
        <w:rPr>
          <w:rFonts w:ascii="等线" w:eastAsia="等线" w:hAnsi="Times New Roman"/>
          <w:color w:val="000000"/>
        </w:rPr>
        <w:t>Mr. Chen is a counsel with Fangda Partners</w:t>
      </w:r>
      <w:r w:rsidRPr="00542FFB">
        <w:rPr>
          <w:rFonts w:ascii="等线" w:eastAsia="等线" w:hAnsi="Times New Roman"/>
          <w:color w:val="000000"/>
        </w:rPr>
        <w:t>’</w:t>
      </w:r>
      <w:r w:rsidRPr="00542FFB">
        <w:rPr>
          <w:rFonts w:ascii="等线" w:eastAsia="等线" w:hAnsi="Times New Roman"/>
          <w:color w:val="000000"/>
        </w:rPr>
        <w:t xml:space="preserve"> Dispute Resolution group. Peter focuses on international arbitration and has represented clients from a wide range of sectors including private equity, energy, AI, hospitality and manufacturing in arbitrations administered by the HKIAC and other institutions. Since his qualification in 2016, he has spent most of his career in Hong Kong, but has also worked in London and Beijing.</w:t>
      </w:r>
    </w:p>
    <w:p w14:paraId="5F9FB925" w14:textId="77777777" w:rsidR="00542FFB" w:rsidRDefault="00542FFB" w:rsidP="00542FFB">
      <w:pPr>
        <w:pStyle w:val="af5"/>
        <w:spacing w:after="0" w:line="480" w:lineRule="auto"/>
        <w:rPr>
          <w:rFonts w:ascii="等线" w:eastAsia="等线" w:hAnsi="等线"/>
          <w:b/>
          <w:sz w:val="24"/>
        </w:rPr>
      </w:pPr>
      <w:r w:rsidRPr="00542FFB">
        <w:rPr>
          <w:rFonts w:ascii="等线" w:eastAsia="等线" w:hAnsi="等线"/>
          <w:b/>
          <w:sz w:val="24"/>
        </w:rPr>
        <w:t>REPRESENTATIVE MATTERS AND CASES</w:t>
      </w:r>
    </w:p>
    <w:p w14:paraId="33B02318" w14:textId="77777777" w:rsidR="00542FFB" w:rsidRDefault="00542FFB" w:rsidP="00542FFB">
      <w:pPr>
        <w:pStyle w:val="af5"/>
        <w:spacing w:before="120"/>
        <w:rPr>
          <w:rFonts w:ascii="等线" w:eastAsia="等线" w:hAnsi="Times New Roman"/>
          <w:color w:val="000000"/>
        </w:rPr>
      </w:pPr>
    </w:p>
    <w:p w14:paraId="11B9D628" w14:textId="77777777" w:rsidR="00542FFB" w:rsidRDefault="00542FFB" w:rsidP="00542FFB">
      <w:pPr>
        <w:pStyle w:val="af5"/>
        <w:numPr>
          <w:ilvl w:val="0"/>
          <w:numId w:val="4"/>
        </w:numPr>
        <w:spacing w:before="120"/>
        <w:ind w:left="690" w:hanging="240"/>
        <w:rPr>
          <w:rFonts w:ascii="等线" w:eastAsia="等线" w:hAnsi="Times New Roman"/>
          <w:color w:val="000000"/>
        </w:rPr>
      </w:pPr>
      <w:r w:rsidRPr="00542FFB">
        <w:rPr>
          <w:rFonts w:ascii="等线" w:eastAsia="等线" w:hAnsi="Times New Roman"/>
          <w:color w:val="000000"/>
        </w:rPr>
        <w:t>Represented two large private equity funds in a complex dispute against one of the co-founders in the PRC socialized shopping business, which involved HKIAC arbitration, Hong Kong court proceedings, winding up petitions in the Cayman Islands and related arbitral proceedings in the PRC, with a total claim value of over US$150 million.</w:t>
      </w:r>
    </w:p>
    <w:p w14:paraId="4B5DE063" w14:textId="77777777" w:rsidR="00542FFB" w:rsidRDefault="00542FFB" w:rsidP="00542FFB">
      <w:pPr>
        <w:pStyle w:val="af5"/>
        <w:numPr>
          <w:ilvl w:val="0"/>
          <w:numId w:val="5"/>
        </w:numPr>
        <w:spacing w:before="120"/>
        <w:ind w:left="690" w:hanging="240"/>
        <w:rPr>
          <w:rFonts w:ascii="等线" w:eastAsia="等线" w:hAnsi="Times New Roman"/>
          <w:color w:val="000000"/>
        </w:rPr>
      </w:pPr>
      <w:r w:rsidRPr="00542FFB">
        <w:rPr>
          <w:rFonts w:ascii="等线" w:eastAsia="等线" w:hAnsi="Times New Roman"/>
          <w:color w:val="000000"/>
        </w:rPr>
        <w:t>Represented a prominent Japanese private equity house in a high-steak redemption dispute against the driverless taxi business it invested, in an HKIAC arbitration. The claim value is over US$250 million.</w:t>
      </w:r>
    </w:p>
    <w:p w14:paraId="78F5AE74" w14:textId="77777777" w:rsidR="00542FFB" w:rsidRDefault="00542FFB" w:rsidP="00542FFB">
      <w:pPr>
        <w:pStyle w:val="af5"/>
        <w:numPr>
          <w:ilvl w:val="0"/>
          <w:numId w:val="6"/>
        </w:numPr>
        <w:spacing w:before="120"/>
        <w:ind w:left="690" w:hanging="240"/>
        <w:rPr>
          <w:rFonts w:ascii="等线" w:eastAsia="等线" w:hAnsi="Times New Roman"/>
          <w:color w:val="000000"/>
        </w:rPr>
      </w:pPr>
      <w:r w:rsidRPr="00542FFB">
        <w:rPr>
          <w:rFonts w:ascii="等线" w:eastAsia="等线" w:hAnsi="Times New Roman"/>
          <w:color w:val="000000"/>
        </w:rPr>
        <w:t>Represented a dominant PRC internet conglomerate in a claim of guaranteed investment return against the founder of an entertainment content company, which led to an HKIAC arbitration. The claim value is over HK$300 million.</w:t>
      </w:r>
    </w:p>
    <w:p w14:paraId="492F7DD2" w14:textId="77777777" w:rsidR="00542FFB" w:rsidRDefault="00542FFB" w:rsidP="00542FFB">
      <w:pPr>
        <w:pStyle w:val="af5"/>
        <w:numPr>
          <w:ilvl w:val="0"/>
          <w:numId w:val="7"/>
        </w:numPr>
        <w:spacing w:before="120"/>
        <w:ind w:left="690" w:hanging="240"/>
        <w:rPr>
          <w:rFonts w:ascii="等线" w:eastAsia="等线" w:hAnsi="Times New Roman"/>
          <w:color w:val="000000"/>
        </w:rPr>
      </w:pPr>
      <w:r w:rsidRPr="00542FFB">
        <w:rPr>
          <w:rFonts w:ascii="等线" w:eastAsia="等线" w:hAnsi="Times New Roman"/>
          <w:color w:val="000000"/>
        </w:rPr>
        <w:t>Represented a leading HKSE-listed Chinese online travel agency business in a Hong Kong High Court action and an HKIAC arbitration concerning the length and performance of its asset management agreement with an asset manager</w:t>
      </w:r>
    </w:p>
    <w:p w14:paraId="75110E8D" w14:textId="77777777" w:rsidR="00542FFB" w:rsidRDefault="00542FFB" w:rsidP="00542FFB">
      <w:pPr>
        <w:pStyle w:val="af5"/>
        <w:numPr>
          <w:ilvl w:val="0"/>
          <w:numId w:val="8"/>
        </w:numPr>
        <w:spacing w:before="120"/>
        <w:ind w:left="690" w:hanging="240"/>
        <w:rPr>
          <w:rFonts w:ascii="等线" w:eastAsia="等线" w:hAnsi="Times New Roman"/>
          <w:color w:val="000000"/>
        </w:rPr>
      </w:pPr>
      <w:r w:rsidRPr="00542FFB">
        <w:rPr>
          <w:rFonts w:ascii="等线" w:eastAsia="等线" w:hAnsi="Times New Roman"/>
          <w:color w:val="000000"/>
        </w:rPr>
        <w:t>Represented two leading private equity funds in an Emergency Arbitrator application and the subsequent HKIAC arbitration concerning investor-founder disputes in connection with a suite of entities and agreements in multiple jurisdictions</w:t>
      </w:r>
    </w:p>
    <w:p w14:paraId="26D0BD09" w14:textId="77777777" w:rsidR="00542FFB" w:rsidRDefault="00542FFB" w:rsidP="00542FFB">
      <w:pPr>
        <w:pStyle w:val="af5"/>
        <w:numPr>
          <w:ilvl w:val="0"/>
          <w:numId w:val="9"/>
        </w:numPr>
        <w:spacing w:before="120"/>
        <w:ind w:left="690" w:hanging="240"/>
        <w:rPr>
          <w:rFonts w:ascii="等线" w:eastAsia="等线" w:hAnsi="Times New Roman"/>
          <w:color w:val="000000"/>
        </w:rPr>
      </w:pPr>
      <w:r w:rsidRPr="00542FFB">
        <w:rPr>
          <w:rFonts w:ascii="等线" w:eastAsia="等线" w:hAnsi="Times New Roman"/>
          <w:color w:val="000000"/>
        </w:rPr>
        <w:t>Advised a prominent Asia-focused private equity fund on its dispute and potential ICC New York arbitration with a US company over the fund's investment in a pharmaceutical product with the US company</w:t>
      </w:r>
    </w:p>
    <w:p w14:paraId="6CD911D8" w14:textId="77777777" w:rsidR="00542FFB" w:rsidRDefault="00542FFB" w:rsidP="00542FFB">
      <w:pPr>
        <w:pStyle w:val="af5"/>
        <w:numPr>
          <w:ilvl w:val="0"/>
          <w:numId w:val="10"/>
        </w:numPr>
        <w:spacing w:before="120"/>
        <w:ind w:left="690" w:hanging="240"/>
        <w:rPr>
          <w:rFonts w:ascii="等线" w:eastAsia="等线" w:hAnsi="Times New Roman"/>
          <w:color w:val="000000"/>
        </w:rPr>
      </w:pPr>
      <w:r w:rsidRPr="00542FFB">
        <w:rPr>
          <w:rFonts w:ascii="等线" w:eastAsia="等线" w:hAnsi="Times New Roman"/>
          <w:color w:val="000000"/>
        </w:rPr>
        <w:t>Advised a private technology company on its equity investment in a VIE-structured venture and on its exercise of its redemption rights under the contract and Cayman Island law</w:t>
      </w:r>
    </w:p>
    <w:p w14:paraId="0DC61B7E" w14:textId="77777777" w:rsidR="00542FFB" w:rsidRDefault="00542FFB" w:rsidP="00542FFB">
      <w:pPr>
        <w:pStyle w:val="af5"/>
        <w:numPr>
          <w:ilvl w:val="0"/>
          <w:numId w:val="11"/>
        </w:numPr>
        <w:spacing w:before="120"/>
        <w:ind w:left="690" w:hanging="240"/>
        <w:rPr>
          <w:rFonts w:ascii="等线" w:eastAsia="等线" w:hAnsi="Times New Roman"/>
          <w:color w:val="000000"/>
        </w:rPr>
      </w:pPr>
      <w:r w:rsidRPr="00542FFB">
        <w:rPr>
          <w:rFonts w:ascii="等线" w:eastAsia="等线" w:hAnsi="Times New Roman"/>
          <w:color w:val="000000"/>
        </w:rPr>
        <w:t>Represented an NYSE-listed Chinese e-consumer business in a HKIAC arbitration concerning the breach of the investors' rights agreement, with parallel proceedings in Hong Kong and Cayman courts</w:t>
      </w:r>
    </w:p>
    <w:p w14:paraId="524EBE42" w14:textId="77777777" w:rsidR="00542FFB" w:rsidRDefault="00542FFB" w:rsidP="00542FFB">
      <w:pPr>
        <w:pStyle w:val="af5"/>
        <w:numPr>
          <w:ilvl w:val="0"/>
          <w:numId w:val="12"/>
        </w:numPr>
        <w:spacing w:before="120"/>
        <w:ind w:left="690" w:hanging="240"/>
        <w:rPr>
          <w:rFonts w:ascii="等线" w:eastAsia="等线" w:hAnsi="Times New Roman"/>
          <w:color w:val="000000"/>
        </w:rPr>
      </w:pPr>
      <w:r w:rsidRPr="00542FFB">
        <w:rPr>
          <w:rFonts w:ascii="等线" w:eastAsia="等线" w:hAnsi="Times New Roman"/>
          <w:color w:val="000000"/>
        </w:rPr>
        <w:t>Represented a luxury international hotel in HKIAC-administered UNCITRAL arbitration concerning a property owner's breach of management agreements for a Beijing hotel</w:t>
      </w:r>
    </w:p>
    <w:p w14:paraId="5F1528AC" w14:textId="77777777" w:rsidR="00542FFB" w:rsidRDefault="00542FFB" w:rsidP="00542FFB">
      <w:pPr>
        <w:pStyle w:val="af5"/>
        <w:numPr>
          <w:ilvl w:val="0"/>
          <w:numId w:val="13"/>
        </w:numPr>
        <w:spacing w:before="120"/>
        <w:ind w:left="690" w:hanging="240"/>
        <w:rPr>
          <w:rFonts w:ascii="等线" w:eastAsia="等线" w:hAnsi="Times New Roman"/>
          <w:color w:val="000000"/>
        </w:rPr>
      </w:pPr>
      <w:r w:rsidRPr="00542FFB">
        <w:rPr>
          <w:rFonts w:ascii="等线" w:eastAsia="等线" w:hAnsi="Times New Roman"/>
          <w:color w:val="000000"/>
        </w:rPr>
        <w:t>Represented a leading NYSE-listed hospitality brand in HKIAC arbitration concerning its acquisition of a hotel business and its exercise of a price adjustment due to the seller</w:t>
      </w:r>
      <w:r w:rsidRPr="00542FFB">
        <w:rPr>
          <w:rFonts w:ascii="等线" w:eastAsia="等线" w:hAnsi="Times New Roman"/>
          <w:color w:val="000000"/>
        </w:rPr>
        <w:t>’</w:t>
      </w:r>
      <w:r w:rsidRPr="00542FFB">
        <w:rPr>
          <w:rFonts w:ascii="等线" w:eastAsia="等线" w:hAnsi="Times New Roman"/>
          <w:color w:val="000000"/>
        </w:rPr>
        <w:t>s failure to achieve a performance guarantee</w:t>
      </w:r>
    </w:p>
    <w:p w14:paraId="33F286A0" w14:textId="77777777" w:rsidR="00542FFB" w:rsidRDefault="00542FFB" w:rsidP="00542FFB">
      <w:pPr>
        <w:pStyle w:val="af5"/>
        <w:numPr>
          <w:ilvl w:val="0"/>
          <w:numId w:val="14"/>
        </w:numPr>
        <w:spacing w:before="120"/>
        <w:ind w:left="690" w:hanging="240"/>
        <w:rPr>
          <w:rFonts w:ascii="等线" w:eastAsia="等线" w:hAnsi="Times New Roman"/>
          <w:color w:val="000000"/>
        </w:rPr>
      </w:pPr>
      <w:r w:rsidRPr="00542FFB">
        <w:rPr>
          <w:rFonts w:ascii="等线" w:eastAsia="等线" w:hAnsi="Times New Roman"/>
          <w:color w:val="000000"/>
        </w:rPr>
        <w:t>Represented a leading NYSE-listed hospitality brand in HKIAC arbitration to enforce its guaranteed investment return on its investment in a Hong Kong-listed company</w:t>
      </w:r>
    </w:p>
    <w:p w14:paraId="34751BA5" w14:textId="77777777" w:rsidR="00542FFB" w:rsidRDefault="00542FFB" w:rsidP="00542FFB">
      <w:pPr>
        <w:pStyle w:val="af5"/>
        <w:numPr>
          <w:ilvl w:val="0"/>
          <w:numId w:val="15"/>
        </w:numPr>
        <w:spacing w:before="120"/>
        <w:ind w:left="690" w:hanging="240"/>
        <w:rPr>
          <w:rFonts w:ascii="等线" w:eastAsia="等线" w:hAnsi="Times New Roman"/>
          <w:color w:val="000000"/>
        </w:rPr>
      </w:pPr>
      <w:r w:rsidRPr="00542FFB">
        <w:rPr>
          <w:rFonts w:ascii="等线" w:eastAsia="等线" w:hAnsi="Times New Roman"/>
          <w:color w:val="000000"/>
        </w:rPr>
        <w:t>Represented a popular international restaurant brand in an ICC arbitration against its former franchisee in South Asia concerning the breach of a franchise agreement and in successfully terminating the franchise relationship in line with the restaurant brand</w:t>
      </w:r>
      <w:r w:rsidRPr="00542FFB">
        <w:rPr>
          <w:rFonts w:ascii="等线" w:eastAsia="等线" w:hAnsi="Times New Roman"/>
          <w:color w:val="000000"/>
        </w:rPr>
        <w:t>’</w:t>
      </w:r>
      <w:r w:rsidRPr="00542FFB">
        <w:rPr>
          <w:rFonts w:ascii="等线" w:eastAsia="等线" w:hAnsi="Times New Roman"/>
          <w:color w:val="000000"/>
        </w:rPr>
        <w:t>s broader strategy</w:t>
      </w:r>
    </w:p>
    <w:p w14:paraId="3E09D0B8" w14:textId="77777777" w:rsidR="00542FFB" w:rsidRDefault="00542FFB" w:rsidP="00542FFB">
      <w:pPr>
        <w:pStyle w:val="af5"/>
        <w:numPr>
          <w:ilvl w:val="0"/>
          <w:numId w:val="16"/>
        </w:numPr>
        <w:spacing w:before="120"/>
        <w:ind w:left="690" w:hanging="240"/>
        <w:rPr>
          <w:rFonts w:ascii="等线" w:eastAsia="等线" w:hAnsi="Times New Roman"/>
          <w:color w:val="000000"/>
        </w:rPr>
      </w:pPr>
      <w:r w:rsidRPr="00542FFB">
        <w:rPr>
          <w:rFonts w:ascii="等线" w:eastAsia="等线" w:hAnsi="Times New Roman"/>
          <w:color w:val="000000"/>
        </w:rPr>
        <w:t>Represented a Japanese convenience store chain in an ICC arbitration with parallel Cayman proceedings against its Taiwan JV partner over claims including breach of SHA agreement</w:t>
      </w:r>
    </w:p>
    <w:p w14:paraId="5F4A7FCD" w14:textId="77777777" w:rsidR="00542FFB" w:rsidRDefault="00542FFB" w:rsidP="00542FFB">
      <w:pPr>
        <w:pStyle w:val="af5"/>
        <w:numPr>
          <w:ilvl w:val="0"/>
          <w:numId w:val="17"/>
        </w:numPr>
        <w:spacing w:before="120"/>
        <w:ind w:left="690" w:hanging="240"/>
        <w:rPr>
          <w:rFonts w:ascii="等线" w:eastAsia="等线" w:hAnsi="Times New Roman"/>
          <w:color w:val="000000"/>
        </w:rPr>
      </w:pPr>
      <w:r w:rsidRPr="00542FFB">
        <w:rPr>
          <w:rFonts w:ascii="等线" w:eastAsia="等线" w:hAnsi="Times New Roman"/>
          <w:color w:val="000000"/>
        </w:rPr>
        <w:t>Advised a PRC men</w:t>
      </w:r>
      <w:r w:rsidRPr="00542FFB">
        <w:rPr>
          <w:rFonts w:ascii="等线" w:eastAsia="等线" w:hAnsi="Times New Roman"/>
          <w:color w:val="000000"/>
        </w:rPr>
        <w:t>’</w:t>
      </w:r>
      <w:r w:rsidRPr="00542FFB">
        <w:rPr>
          <w:rFonts w:ascii="等线" w:eastAsia="等线" w:hAnsi="Times New Roman"/>
          <w:color w:val="000000"/>
        </w:rPr>
        <w:t>s fashion brand on a joint venture dispute and a potential HKIAC arbitration with a Hong Kong-listed fast fashion company</w:t>
      </w:r>
    </w:p>
    <w:p w14:paraId="6A353C20" w14:textId="77777777" w:rsidR="00542FFB" w:rsidRDefault="00542FFB" w:rsidP="00542FFB">
      <w:pPr>
        <w:pStyle w:val="af5"/>
        <w:numPr>
          <w:ilvl w:val="0"/>
          <w:numId w:val="18"/>
        </w:numPr>
        <w:spacing w:before="120"/>
        <w:ind w:left="690" w:hanging="240"/>
        <w:rPr>
          <w:rFonts w:ascii="等线" w:eastAsia="等线" w:hAnsi="Times New Roman"/>
          <w:color w:val="000000"/>
        </w:rPr>
      </w:pPr>
      <w:r w:rsidRPr="00542FFB">
        <w:rPr>
          <w:rFonts w:ascii="等线" w:eastAsia="等线" w:hAnsi="Times New Roman"/>
          <w:color w:val="000000"/>
        </w:rPr>
        <w:t>Advised a leading international hotel brand on multiple breaches of a hotel management agreement and on the early termination of the agreement with regard to its hotels in China and multiple Asian jurisdictions</w:t>
      </w:r>
    </w:p>
    <w:p w14:paraId="5CD11F09" w14:textId="77777777" w:rsidR="00542FFB" w:rsidRDefault="00542FFB" w:rsidP="00542FFB">
      <w:pPr>
        <w:pStyle w:val="af5"/>
        <w:numPr>
          <w:ilvl w:val="0"/>
          <w:numId w:val="19"/>
        </w:numPr>
        <w:spacing w:before="120"/>
        <w:ind w:left="690" w:hanging="240"/>
        <w:rPr>
          <w:rFonts w:ascii="等线" w:eastAsia="等线" w:hAnsi="Times New Roman"/>
          <w:color w:val="000000"/>
        </w:rPr>
      </w:pPr>
      <w:r w:rsidRPr="00542FFB">
        <w:rPr>
          <w:rFonts w:ascii="等线" w:eastAsia="等线" w:hAnsi="Times New Roman"/>
          <w:color w:val="000000"/>
        </w:rPr>
        <w:t>Represented a high-net-worth individual in the Hong Kong High Court in resisting a world-wide Mareva injunction in connection with a private equity investment into the individual</w:t>
      </w:r>
      <w:r w:rsidRPr="00542FFB">
        <w:rPr>
          <w:rFonts w:ascii="等线" w:eastAsia="等线" w:hAnsi="Times New Roman"/>
          <w:color w:val="000000"/>
        </w:rPr>
        <w:t>’</w:t>
      </w:r>
      <w:r w:rsidRPr="00542FFB">
        <w:rPr>
          <w:rFonts w:ascii="等线" w:eastAsia="等线" w:hAnsi="Times New Roman"/>
          <w:color w:val="000000"/>
        </w:rPr>
        <w:t>s famous restaurant chain</w:t>
      </w:r>
    </w:p>
    <w:p w14:paraId="2EE3E74B" w14:textId="77777777" w:rsidR="00542FFB" w:rsidRDefault="00542FFB" w:rsidP="00542FFB">
      <w:pPr>
        <w:pStyle w:val="af5"/>
        <w:numPr>
          <w:ilvl w:val="0"/>
          <w:numId w:val="20"/>
        </w:numPr>
        <w:spacing w:before="120"/>
        <w:ind w:left="690" w:hanging="240"/>
        <w:rPr>
          <w:rFonts w:ascii="等线" w:eastAsia="等线" w:hAnsi="Times New Roman"/>
          <w:color w:val="000000"/>
        </w:rPr>
      </w:pPr>
      <w:r w:rsidRPr="00542FFB">
        <w:rPr>
          <w:rFonts w:ascii="等线" w:eastAsia="等线" w:hAnsi="Times New Roman"/>
          <w:color w:val="000000"/>
        </w:rPr>
        <w:t>Advised Sinopec on its successful multibillion US Dollars arbitration concerning fraud allegations against Repsol arising from the acquisition of oil and gas assets in the UK under SIAC rules</w:t>
      </w:r>
    </w:p>
    <w:p w14:paraId="26D2F32E" w14:textId="77777777" w:rsidR="00542FFB" w:rsidRDefault="00542FFB" w:rsidP="00542FFB">
      <w:pPr>
        <w:pStyle w:val="af5"/>
        <w:numPr>
          <w:ilvl w:val="0"/>
          <w:numId w:val="21"/>
        </w:numPr>
        <w:spacing w:before="120"/>
        <w:ind w:left="690" w:hanging="240"/>
        <w:rPr>
          <w:rFonts w:ascii="等线" w:eastAsia="等线" w:hAnsi="Times New Roman"/>
          <w:color w:val="000000"/>
        </w:rPr>
      </w:pPr>
      <w:r w:rsidRPr="00542FFB">
        <w:rPr>
          <w:rFonts w:ascii="等线" w:eastAsia="等线" w:hAnsi="Times New Roman"/>
          <w:color w:val="000000"/>
        </w:rPr>
        <w:t>Advised a consortium of international oil companies on their claims and their potential ad hoc arbitration against an African government in relation to the contractual stabilisation mechanism and the breaches under production sharing agreements</w:t>
      </w:r>
    </w:p>
    <w:p w14:paraId="7DA29368" w14:textId="77777777" w:rsidR="00542FFB" w:rsidRDefault="00542FFB" w:rsidP="00542FFB">
      <w:pPr>
        <w:pStyle w:val="af5"/>
        <w:numPr>
          <w:ilvl w:val="0"/>
          <w:numId w:val="22"/>
        </w:numPr>
        <w:spacing w:before="120"/>
        <w:ind w:left="690" w:hanging="240"/>
        <w:rPr>
          <w:rFonts w:ascii="等线" w:eastAsia="等线" w:hAnsi="Times New Roman"/>
          <w:color w:val="000000"/>
        </w:rPr>
      </w:pPr>
      <w:r w:rsidRPr="00542FFB">
        <w:rPr>
          <w:rFonts w:ascii="等线" w:eastAsia="等线" w:hAnsi="Times New Roman"/>
          <w:color w:val="000000"/>
        </w:rPr>
        <w:t>Advised the investment arm for a consortium of belt-and-road investors in an unsuccessful hydropower project in a Southeast Asian country on strategies including an anti-suit injunction for responding to local guerrilla court proceedings in the breach of an arbitration agreement</w:t>
      </w:r>
    </w:p>
    <w:p w14:paraId="608C3E30" w14:textId="77777777" w:rsidR="00542FFB" w:rsidRDefault="00542FFB" w:rsidP="00542FFB">
      <w:pPr>
        <w:pStyle w:val="af5"/>
        <w:numPr>
          <w:ilvl w:val="0"/>
          <w:numId w:val="23"/>
        </w:numPr>
        <w:spacing w:before="120"/>
        <w:ind w:left="690" w:hanging="240"/>
        <w:rPr>
          <w:rFonts w:ascii="等线" w:eastAsia="等线" w:hAnsi="Times New Roman"/>
          <w:color w:val="000000"/>
        </w:rPr>
      </w:pPr>
      <w:r w:rsidRPr="00542FFB">
        <w:rPr>
          <w:rFonts w:ascii="等线" w:eastAsia="等线" w:hAnsi="Times New Roman"/>
          <w:color w:val="000000"/>
        </w:rPr>
        <w:t>Represented a major Middle Eastern oil and gas company in successfully reducing the quantum of a claim to one-tenth the original value in LCIA arbitration concerning crude oil supply and trade in the Caspian Sea region</w:t>
      </w:r>
    </w:p>
    <w:p w14:paraId="19158C6A" w14:textId="77777777" w:rsidR="00542FFB" w:rsidRDefault="00542FFB" w:rsidP="00542FFB">
      <w:pPr>
        <w:pStyle w:val="af5"/>
        <w:numPr>
          <w:ilvl w:val="0"/>
          <w:numId w:val="24"/>
        </w:numPr>
        <w:spacing w:before="120"/>
        <w:ind w:left="690" w:hanging="240"/>
        <w:rPr>
          <w:rFonts w:ascii="等线" w:eastAsia="等线" w:hAnsi="Times New Roman"/>
          <w:color w:val="000000"/>
        </w:rPr>
      </w:pPr>
      <w:r w:rsidRPr="00542FFB">
        <w:rPr>
          <w:rFonts w:ascii="等线" w:eastAsia="等线" w:hAnsi="Times New Roman"/>
          <w:color w:val="000000"/>
        </w:rPr>
        <w:t>Advised a Chinese SOE on its disputes with Australian counterparts concerning calculating and auditing various contractual charges</w:t>
      </w:r>
    </w:p>
    <w:p w14:paraId="0DC84123" w14:textId="77777777" w:rsidR="00542FFB" w:rsidRDefault="00542FFB" w:rsidP="00542FFB">
      <w:pPr>
        <w:pStyle w:val="af5"/>
        <w:numPr>
          <w:ilvl w:val="0"/>
          <w:numId w:val="25"/>
        </w:numPr>
        <w:spacing w:before="120"/>
        <w:ind w:left="690" w:hanging="240"/>
        <w:rPr>
          <w:rFonts w:ascii="等线" w:eastAsia="等线" w:hAnsi="Times New Roman"/>
          <w:color w:val="000000"/>
        </w:rPr>
      </w:pPr>
      <w:r w:rsidRPr="00542FFB">
        <w:rPr>
          <w:rFonts w:ascii="等线" w:eastAsia="等线" w:hAnsi="Times New Roman"/>
          <w:color w:val="000000"/>
        </w:rPr>
        <w:t>Advised a Chinese SOE on its withdrawal from and cessation of operation in a Middle East country</w:t>
      </w:r>
    </w:p>
    <w:p w14:paraId="412A1796" w14:textId="77777777" w:rsidR="00542FFB" w:rsidRDefault="00542FFB" w:rsidP="00542FFB">
      <w:pPr>
        <w:pStyle w:val="af5"/>
        <w:numPr>
          <w:ilvl w:val="0"/>
          <w:numId w:val="26"/>
        </w:numPr>
        <w:spacing w:before="120"/>
        <w:ind w:left="690" w:hanging="240"/>
        <w:rPr>
          <w:rFonts w:ascii="等线" w:eastAsia="等线" w:hAnsi="Times New Roman"/>
          <w:color w:val="000000"/>
        </w:rPr>
      </w:pPr>
      <w:r w:rsidRPr="00542FFB">
        <w:rPr>
          <w:rFonts w:ascii="等线" w:eastAsia="等线" w:hAnsi="Times New Roman"/>
          <w:color w:val="000000"/>
        </w:rPr>
        <w:t>Represented the committee for a mentally incapacitated person in a high-stakes family dispute in the Hong Kong High Court</w:t>
      </w:r>
    </w:p>
    <w:p w14:paraId="677A69B2" w14:textId="77777777" w:rsidR="00542FFB" w:rsidRDefault="00542FFB" w:rsidP="00542FFB">
      <w:pPr>
        <w:pStyle w:val="af5"/>
        <w:spacing w:after="0" w:line="480" w:lineRule="auto"/>
        <w:rPr>
          <w:rFonts w:ascii="等线" w:eastAsia="等线" w:hAnsi="等线"/>
          <w:b/>
          <w:sz w:val="24"/>
        </w:rPr>
      </w:pPr>
      <w:r w:rsidRPr="00542FFB">
        <w:rPr>
          <w:rFonts w:ascii="等线" w:eastAsia="等线" w:hAnsi="等线"/>
          <w:b/>
          <w:sz w:val="24"/>
        </w:rPr>
        <w:t>Education</w:t>
      </w:r>
    </w:p>
    <w:p w14:paraId="3F811126" w14:textId="77777777" w:rsidR="00542FFB" w:rsidRDefault="00542FFB" w:rsidP="00542FFB">
      <w:pPr>
        <w:pStyle w:val="af5"/>
        <w:numPr>
          <w:ilvl w:val="0"/>
          <w:numId w:val="27"/>
        </w:numPr>
        <w:spacing w:before="120"/>
        <w:ind w:left="690" w:hanging="240"/>
        <w:rPr>
          <w:rFonts w:ascii="等线" w:eastAsia="等线" w:hAnsi="Times New Roman"/>
          <w:color w:val="000000"/>
        </w:rPr>
      </w:pPr>
      <w:r w:rsidRPr="00542FFB">
        <w:rPr>
          <w:rFonts w:ascii="等线" w:eastAsia="等线" w:hAnsi="Times New Roman"/>
          <w:color w:val="000000"/>
        </w:rPr>
        <w:t>Peking University, LL.B.</w:t>
      </w:r>
    </w:p>
    <w:p w14:paraId="1B24FF26" w14:textId="77777777" w:rsidR="00542FFB" w:rsidRDefault="00542FFB" w:rsidP="00542FFB">
      <w:pPr>
        <w:pStyle w:val="af5"/>
        <w:numPr>
          <w:ilvl w:val="0"/>
          <w:numId w:val="28"/>
        </w:numPr>
        <w:spacing w:before="120"/>
        <w:ind w:left="690" w:hanging="240"/>
        <w:rPr>
          <w:rFonts w:ascii="等线" w:eastAsia="等线" w:hAnsi="Times New Roman"/>
          <w:color w:val="000000"/>
        </w:rPr>
      </w:pPr>
      <w:r w:rsidRPr="00542FFB">
        <w:rPr>
          <w:rFonts w:ascii="等线" w:eastAsia="等线" w:hAnsi="Times New Roman"/>
          <w:color w:val="000000"/>
        </w:rPr>
        <w:t>Peking University, LL.M. (Public International Law)</w:t>
      </w:r>
    </w:p>
    <w:p w14:paraId="54D76B66" w14:textId="77777777" w:rsidR="00542FFB" w:rsidRDefault="00542FFB" w:rsidP="00542FFB">
      <w:pPr>
        <w:pStyle w:val="af5"/>
        <w:numPr>
          <w:ilvl w:val="0"/>
          <w:numId w:val="29"/>
        </w:numPr>
        <w:spacing w:before="120"/>
        <w:ind w:left="690" w:hanging="240"/>
        <w:rPr>
          <w:rFonts w:ascii="等线" w:eastAsia="等线" w:hAnsi="Times New Roman"/>
          <w:color w:val="000000"/>
        </w:rPr>
      </w:pPr>
      <w:r w:rsidRPr="00542FFB">
        <w:rPr>
          <w:rFonts w:ascii="等线" w:eastAsia="等线" w:hAnsi="Times New Roman"/>
          <w:color w:val="000000"/>
        </w:rPr>
        <w:t>BPP University College, Graduate Diploma in Laws</w:t>
      </w:r>
    </w:p>
    <w:p w14:paraId="6CA2E630" w14:textId="77777777" w:rsidR="00542FFB" w:rsidRDefault="00542FFB" w:rsidP="00542FFB">
      <w:pPr>
        <w:pStyle w:val="af5"/>
        <w:numPr>
          <w:ilvl w:val="0"/>
          <w:numId w:val="30"/>
        </w:numPr>
        <w:spacing w:before="120"/>
        <w:ind w:left="690" w:hanging="240"/>
        <w:rPr>
          <w:rFonts w:ascii="等线" w:eastAsia="等线" w:hAnsi="Times New Roman"/>
          <w:color w:val="000000"/>
        </w:rPr>
      </w:pPr>
      <w:r w:rsidRPr="00542FFB">
        <w:rPr>
          <w:rFonts w:ascii="等线" w:eastAsia="等线" w:hAnsi="Times New Roman"/>
          <w:color w:val="000000"/>
        </w:rPr>
        <w:t>City University of Hong Kong, Postgraduate Certificate in Laws</w:t>
      </w:r>
    </w:p>
    <w:p w14:paraId="531C1F5D" w14:textId="77777777" w:rsidR="00542FFB" w:rsidRDefault="00542FFB" w:rsidP="00542FFB">
      <w:pPr>
        <w:pStyle w:val="af5"/>
        <w:spacing w:after="0" w:line="480" w:lineRule="auto"/>
        <w:rPr>
          <w:rFonts w:ascii="等线" w:eastAsia="等线" w:hAnsi="等线"/>
          <w:b/>
          <w:sz w:val="24"/>
        </w:rPr>
      </w:pPr>
      <w:r w:rsidRPr="00542FFB">
        <w:rPr>
          <w:rFonts w:ascii="等线" w:eastAsia="等线" w:hAnsi="等线"/>
          <w:b/>
          <w:sz w:val="24"/>
        </w:rPr>
        <w:t>Professional Qualification</w:t>
      </w:r>
    </w:p>
    <w:p w14:paraId="72A1E311" w14:textId="77777777" w:rsidR="00542FFB" w:rsidRDefault="00542FFB" w:rsidP="00542FFB">
      <w:pPr>
        <w:pStyle w:val="af5"/>
        <w:numPr>
          <w:ilvl w:val="0"/>
          <w:numId w:val="31"/>
        </w:numPr>
        <w:spacing w:before="120"/>
        <w:ind w:left="690" w:hanging="240"/>
        <w:rPr>
          <w:rFonts w:ascii="等线" w:eastAsia="等线" w:hAnsi="Times New Roman"/>
          <w:color w:val="000000"/>
        </w:rPr>
      </w:pPr>
      <w:r w:rsidRPr="00542FFB">
        <w:rPr>
          <w:rFonts w:ascii="等线" w:eastAsia="等线" w:hAnsi="Times New Roman"/>
          <w:color w:val="000000"/>
        </w:rPr>
        <w:t>Admitted to practice in Hong Kong SAR (2016)</w:t>
      </w:r>
    </w:p>
    <w:p w14:paraId="5BAF7B5D" w14:textId="77777777" w:rsidR="00542FFB" w:rsidRDefault="00542FFB" w:rsidP="00542FFB">
      <w:pPr>
        <w:pStyle w:val="af5"/>
        <w:numPr>
          <w:ilvl w:val="0"/>
          <w:numId w:val="32"/>
        </w:numPr>
        <w:spacing w:before="120"/>
        <w:ind w:left="690" w:hanging="240"/>
        <w:rPr>
          <w:rFonts w:ascii="等线" w:eastAsia="等线" w:hAnsi="Times New Roman"/>
          <w:color w:val="000000"/>
        </w:rPr>
      </w:pPr>
      <w:r w:rsidRPr="00542FFB">
        <w:rPr>
          <w:rFonts w:ascii="等线" w:eastAsia="等线" w:hAnsi="Times New Roman"/>
          <w:color w:val="000000"/>
        </w:rPr>
        <w:t>Admitted to practice in England and Wales (2024)</w:t>
      </w:r>
    </w:p>
    <w:p w14:paraId="3CE231E7" w14:textId="77777777" w:rsidR="00542FFB" w:rsidRDefault="00542FFB" w:rsidP="00542FFB">
      <w:pPr>
        <w:pStyle w:val="af5"/>
        <w:numPr>
          <w:ilvl w:val="0"/>
          <w:numId w:val="33"/>
        </w:numPr>
        <w:spacing w:before="120"/>
        <w:ind w:left="690" w:hanging="240"/>
        <w:rPr>
          <w:rFonts w:ascii="等线" w:eastAsia="等线" w:hAnsi="Times New Roman"/>
          <w:color w:val="000000"/>
        </w:rPr>
      </w:pPr>
      <w:r w:rsidRPr="00542FFB">
        <w:rPr>
          <w:rFonts w:ascii="等线" w:eastAsia="等线" w:hAnsi="Times New Roman"/>
          <w:color w:val="000000"/>
        </w:rPr>
        <w:t>Passed PRC Bar Exam (2011)</w:t>
      </w:r>
    </w:p>
    <w:p w14:paraId="052A40D4" w14:textId="77777777" w:rsidR="00542FFB" w:rsidRDefault="00542FFB" w:rsidP="00542FFB">
      <w:pPr>
        <w:pStyle w:val="af5"/>
        <w:spacing w:after="0" w:line="480" w:lineRule="auto"/>
        <w:rPr>
          <w:rFonts w:ascii="等线" w:eastAsia="等线" w:hAnsi="等线"/>
          <w:b/>
          <w:sz w:val="24"/>
        </w:rPr>
      </w:pPr>
      <w:r w:rsidRPr="00542FFB">
        <w:rPr>
          <w:rFonts w:ascii="等线" w:eastAsia="等线" w:hAnsi="等线"/>
          <w:b/>
          <w:sz w:val="24"/>
        </w:rPr>
        <w:t>Work Language</w:t>
      </w:r>
    </w:p>
    <w:p w14:paraId="19C44746" w14:textId="77777777" w:rsidR="00542FFB" w:rsidRDefault="00542FFB" w:rsidP="00542FFB">
      <w:pPr>
        <w:pStyle w:val="af5"/>
        <w:numPr>
          <w:ilvl w:val="0"/>
          <w:numId w:val="34"/>
        </w:numPr>
        <w:spacing w:before="120"/>
        <w:ind w:left="690" w:hanging="240"/>
        <w:rPr>
          <w:rFonts w:ascii="等线" w:eastAsia="等线" w:hAnsi="Times New Roman"/>
          <w:color w:val="000000"/>
        </w:rPr>
      </w:pPr>
      <w:r w:rsidRPr="00542FFB">
        <w:rPr>
          <w:rFonts w:ascii="等线" w:eastAsia="等线" w:hAnsi="Times New Roman"/>
          <w:color w:val="000000"/>
        </w:rPr>
        <w:t>English</w:t>
      </w:r>
    </w:p>
    <w:p w14:paraId="5FC6C27A" w14:textId="77777777" w:rsidR="00542FFB" w:rsidRDefault="00542FFB" w:rsidP="00542FFB">
      <w:pPr>
        <w:pStyle w:val="af5"/>
        <w:numPr>
          <w:ilvl w:val="0"/>
          <w:numId w:val="35"/>
        </w:numPr>
        <w:spacing w:before="120"/>
        <w:ind w:left="690" w:hanging="240"/>
        <w:rPr>
          <w:rFonts w:ascii="等线" w:eastAsia="等线" w:hAnsi="Times New Roman"/>
          <w:color w:val="000000"/>
        </w:rPr>
      </w:pPr>
      <w:r w:rsidRPr="00542FFB">
        <w:rPr>
          <w:rFonts w:ascii="等线" w:eastAsia="等线" w:hAnsi="Times New Roman"/>
          <w:color w:val="000000"/>
        </w:rPr>
        <w:t>Mandarin</w:t>
      </w:r>
    </w:p>
    <w:p w14:paraId="3B0F3C65" w14:textId="77777777" w:rsidR="00542FFB" w:rsidRDefault="00542FFB" w:rsidP="00542FFB">
      <w:pPr>
        <w:pStyle w:val="af5"/>
        <w:numPr>
          <w:ilvl w:val="0"/>
          <w:numId w:val="36"/>
        </w:numPr>
        <w:spacing w:before="120"/>
        <w:ind w:left="690" w:hanging="240"/>
        <w:rPr>
          <w:rFonts w:ascii="等线" w:eastAsia="等线" w:hAnsi="Times New Roman"/>
          <w:color w:val="000000"/>
        </w:rPr>
      </w:pPr>
      <w:r w:rsidRPr="00542FFB">
        <w:rPr>
          <w:rFonts w:ascii="等线" w:eastAsia="等线" w:hAnsi="Times New Roman"/>
          <w:color w:val="000000"/>
        </w:rPr>
        <w:t>Cantonese</w:t>
      </w:r>
    </w:p>
    <w:p w14:paraId="09B1D3F2" w14:textId="77777777" w:rsidR="00542FFB" w:rsidRDefault="00542FFB" w:rsidP="00542FFB">
      <w:pPr>
        <w:pStyle w:val="af5"/>
        <w:spacing w:after="0" w:line="480" w:lineRule="auto"/>
        <w:rPr>
          <w:rFonts w:ascii="等线" w:eastAsia="等线" w:hAnsi="等线"/>
          <w:b/>
          <w:sz w:val="24"/>
        </w:rPr>
      </w:pPr>
      <w:r w:rsidRPr="00542FFB">
        <w:rPr>
          <w:rFonts w:ascii="等线" w:eastAsia="等线" w:hAnsi="等线"/>
          <w:b/>
          <w:sz w:val="24"/>
        </w:rPr>
        <w:t>Professional Background</w:t>
      </w:r>
    </w:p>
    <w:p w14:paraId="12F39F44" w14:textId="77777777" w:rsidR="00542FFB" w:rsidRDefault="00542FFB" w:rsidP="00542FFB">
      <w:pPr>
        <w:pStyle w:val="af5"/>
        <w:numPr>
          <w:ilvl w:val="0"/>
          <w:numId w:val="37"/>
        </w:numPr>
        <w:spacing w:before="120"/>
        <w:ind w:left="690" w:hanging="240"/>
        <w:rPr>
          <w:rFonts w:ascii="等线" w:eastAsia="等线" w:hAnsi="Times New Roman"/>
          <w:color w:val="000000"/>
        </w:rPr>
      </w:pPr>
      <w:r w:rsidRPr="00542FFB">
        <w:rPr>
          <w:rFonts w:ascii="等线" w:eastAsia="等线" w:hAnsi="Times New Roman"/>
          <w:color w:val="000000"/>
        </w:rPr>
        <w:t>Before joining Fangda Partners, Peter trained with and worked for an international law firm with a renowned dispute resolution practice for eight years, in its Hong Kong, London and Beijing offices.</w:t>
      </w:r>
    </w:p>
    <w:p w14:paraId="030BEAB2" w14:textId="77777777" w:rsidR="00542FFB" w:rsidRDefault="00542FFB" w:rsidP="00542FFB">
      <w:pPr>
        <w:pStyle w:val="af5"/>
        <w:numPr>
          <w:ilvl w:val="0"/>
          <w:numId w:val="38"/>
        </w:numPr>
        <w:spacing w:before="120"/>
        <w:ind w:left="690" w:hanging="240"/>
        <w:rPr>
          <w:rFonts w:ascii="等线" w:eastAsia="等线" w:hAnsi="Times New Roman"/>
          <w:color w:val="000000"/>
        </w:rPr>
      </w:pPr>
      <w:r w:rsidRPr="00542FFB">
        <w:rPr>
          <w:rFonts w:ascii="等线" w:eastAsia="等线" w:hAnsi="Times New Roman"/>
          <w:color w:val="000000"/>
        </w:rPr>
        <w:t>He is currently a committee member of the HK45, a young professional grouping of the HKIAC.</w:t>
      </w:r>
    </w:p>
    <w:p w14:paraId="311D2DAA" w14:textId="77777777" w:rsidR="00542FFB" w:rsidRDefault="00542FFB" w:rsidP="00542FFB">
      <w:pPr>
        <w:pStyle w:val="af5"/>
        <w:spacing w:after="0" w:line="480" w:lineRule="auto"/>
        <w:rPr>
          <w:rFonts w:ascii="等线" w:eastAsia="等线" w:hAnsi="等线"/>
          <w:b/>
          <w:sz w:val="24"/>
        </w:rPr>
      </w:pPr>
      <w:r w:rsidRPr="00542FFB">
        <w:rPr>
          <w:rFonts w:ascii="等线" w:eastAsia="等线" w:hAnsi="等线"/>
          <w:b/>
          <w:sz w:val="24"/>
        </w:rPr>
        <w:t>OTHER INFORMATION</w:t>
      </w:r>
    </w:p>
    <w:p w14:paraId="343299C6" w14:textId="77777777" w:rsidR="00542FFB" w:rsidRDefault="00542FFB" w:rsidP="00542FFB">
      <w:pPr>
        <w:pStyle w:val="af5"/>
        <w:spacing w:after="0" w:line="480" w:lineRule="auto"/>
        <w:rPr>
          <w:rFonts w:ascii="等线" w:eastAsia="等线" w:hAnsi="等线"/>
          <w:b/>
          <w:sz w:val="24"/>
        </w:rPr>
      </w:pPr>
      <w:r w:rsidRPr="00542FFB">
        <w:rPr>
          <w:rFonts w:ascii="等线" w:eastAsia="等线" w:hAnsi="等线"/>
          <w:b/>
          <w:sz w:val="24"/>
        </w:rPr>
        <w:t>Publications</w:t>
      </w:r>
    </w:p>
    <w:p w14:paraId="57BB21F0" w14:textId="77777777" w:rsidR="00542FFB" w:rsidRDefault="00542FFB" w:rsidP="00542FFB">
      <w:pPr>
        <w:pStyle w:val="af5"/>
        <w:numPr>
          <w:ilvl w:val="0"/>
          <w:numId w:val="39"/>
        </w:numPr>
        <w:spacing w:before="120"/>
        <w:ind w:left="690" w:hanging="240"/>
        <w:rPr>
          <w:rFonts w:ascii="等线" w:eastAsia="等线" w:hAnsi="Times New Roman"/>
          <w:color w:val="000000"/>
        </w:rPr>
      </w:pPr>
      <w:r w:rsidRPr="00542FFB">
        <w:rPr>
          <w:rFonts w:ascii="等线" w:eastAsia="等线" w:hAnsi="Times New Roman"/>
          <w:color w:val="000000"/>
        </w:rPr>
        <w:t>Co-author, "Arbitration of M&amp;A Transactions" (China Chapter), Global Law and Business, 2020</w:t>
      </w:r>
      <w:r w:rsidRPr="00542FFB">
        <w:rPr>
          <w:rFonts w:ascii="等线" w:eastAsia="等线" w:hAnsi="Times New Roman"/>
          <w:color w:val="000000"/>
        </w:rPr>
        <w:t> </w:t>
      </w:r>
      <w:r w:rsidRPr="00542FFB">
        <w:rPr>
          <w:rFonts w:ascii="等线" w:eastAsia="等线" w:hAnsi="Times New Roman"/>
          <w:color w:val="000000"/>
        </w:rPr>
        <w:t xml:space="preserve"> </w:t>
      </w:r>
    </w:p>
    <w:p w14:paraId="579A60C2" w14:textId="77777777" w:rsidR="00542FFB" w:rsidRDefault="00542FFB" w:rsidP="00542FFB">
      <w:pPr>
        <w:pStyle w:val="af5"/>
        <w:numPr>
          <w:ilvl w:val="0"/>
          <w:numId w:val="40"/>
        </w:numPr>
        <w:spacing w:before="120"/>
        <w:ind w:left="690" w:hanging="240"/>
        <w:rPr>
          <w:rFonts w:ascii="等线" w:eastAsia="等线" w:hAnsi="Times New Roman"/>
          <w:color w:val="000000"/>
        </w:rPr>
      </w:pPr>
      <w:r w:rsidRPr="00542FFB">
        <w:rPr>
          <w:rFonts w:ascii="等线" w:eastAsia="等线" w:hAnsi="Times New Roman"/>
          <w:color w:val="000000"/>
        </w:rPr>
        <w:t xml:space="preserve">Co-author, "Delos Guide on Arbitration Jurisdictions </w:t>
      </w:r>
      <w:r w:rsidRPr="00542FFB">
        <w:rPr>
          <w:rFonts w:ascii="等线" w:eastAsia="等线" w:hAnsi="Times New Roman"/>
          <w:color w:val="000000"/>
        </w:rPr>
        <w:t>–</w:t>
      </w:r>
      <w:r w:rsidRPr="00542FFB">
        <w:rPr>
          <w:rFonts w:ascii="等线" w:eastAsia="等线" w:hAnsi="Times New Roman"/>
          <w:color w:val="000000"/>
        </w:rPr>
        <w:t xml:space="preserve"> Hong Kong", 2025 </w:t>
      </w:r>
    </w:p>
    <w:p w14:paraId="62D9735B" w14:textId="77777777" w:rsidR="00542FFB" w:rsidRDefault="00542FFB" w:rsidP="00542FFB">
      <w:pPr>
        <w:pStyle w:val="af5"/>
        <w:numPr>
          <w:ilvl w:val="0"/>
          <w:numId w:val="41"/>
        </w:numPr>
        <w:spacing w:before="120"/>
        <w:ind w:left="690" w:hanging="240"/>
        <w:rPr>
          <w:rFonts w:ascii="等线" w:eastAsia="等线" w:hAnsi="Times New Roman"/>
          <w:color w:val="000000"/>
        </w:rPr>
      </w:pPr>
      <w:r w:rsidRPr="00542FFB">
        <w:rPr>
          <w:rFonts w:ascii="等线" w:eastAsia="等线" w:hAnsi="Times New Roman"/>
          <w:color w:val="000000"/>
        </w:rPr>
        <w:t xml:space="preserve">Co-author, "Updates on Potential EU-China Comprehensive Agreement on Investment (with a Focus on Investment Protection and ISDS) </w:t>
      </w:r>
      <w:r w:rsidRPr="00542FFB">
        <w:rPr>
          <w:rFonts w:ascii="等线" w:eastAsia="等线" w:hAnsi="Times New Roman"/>
          <w:color w:val="000000"/>
        </w:rPr>
        <w:t>–</w:t>
      </w:r>
      <w:r w:rsidRPr="00542FFB">
        <w:rPr>
          <w:rFonts w:ascii="等线" w:eastAsia="等线" w:hAnsi="Times New Roman"/>
          <w:color w:val="000000"/>
        </w:rPr>
        <w:t xml:space="preserve"> New Wine in New Bottles?", 2020 </w:t>
      </w:r>
    </w:p>
    <w:p w14:paraId="52130299" w14:textId="77777777" w:rsidR="00542FFB" w:rsidRDefault="00542FFB" w:rsidP="00542FFB">
      <w:pPr>
        <w:pStyle w:val="af5"/>
        <w:numPr>
          <w:ilvl w:val="0"/>
          <w:numId w:val="42"/>
        </w:numPr>
        <w:spacing w:before="120"/>
        <w:ind w:left="690" w:hanging="240"/>
        <w:rPr>
          <w:rFonts w:ascii="等线" w:eastAsia="等线" w:hAnsi="Times New Roman"/>
          <w:color w:val="000000"/>
        </w:rPr>
      </w:pPr>
      <w:r w:rsidRPr="00542FFB">
        <w:rPr>
          <w:rFonts w:ascii="等线" w:eastAsia="等线" w:hAnsi="Times New Roman"/>
          <w:color w:val="000000"/>
        </w:rPr>
        <w:t xml:space="preserve">Co-author, "2020 Survey of TMT Sector Investor-State Arbitration" </w:t>
      </w:r>
    </w:p>
    <w:p w14:paraId="71335AF7" w14:textId="77777777" w:rsidR="00542FFB" w:rsidRDefault="00542FFB" w:rsidP="00542FFB">
      <w:pPr>
        <w:pStyle w:val="af5"/>
        <w:numPr>
          <w:ilvl w:val="0"/>
          <w:numId w:val="43"/>
        </w:numPr>
        <w:spacing w:before="120"/>
        <w:ind w:left="690" w:hanging="240"/>
        <w:rPr>
          <w:rFonts w:ascii="等线" w:eastAsia="等线" w:hAnsi="Times New Roman"/>
          <w:color w:val="000000"/>
        </w:rPr>
      </w:pPr>
      <w:r w:rsidRPr="00542FFB">
        <w:rPr>
          <w:rFonts w:ascii="等线" w:eastAsia="等线" w:hAnsi="Times New Roman"/>
          <w:color w:val="000000"/>
        </w:rPr>
        <w:t xml:space="preserve">Co-author, "Outcome Related Fee Structures for Arbitration Now Available in Hong Kong", 2022 </w:t>
      </w:r>
    </w:p>
    <w:p w14:paraId="5BC5E20C" w14:textId="77777777" w:rsidR="00542FFB" w:rsidRDefault="00542FFB" w:rsidP="00542FFB">
      <w:pPr>
        <w:pStyle w:val="af5"/>
        <w:numPr>
          <w:ilvl w:val="0"/>
          <w:numId w:val="44"/>
        </w:numPr>
        <w:spacing w:before="120"/>
        <w:ind w:left="690" w:hanging="240"/>
        <w:rPr>
          <w:rFonts w:ascii="等线" w:eastAsia="等线" w:hAnsi="Times New Roman"/>
          <w:color w:val="000000"/>
        </w:rPr>
      </w:pPr>
      <w:r w:rsidRPr="00542FFB">
        <w:rPr>
          <w:rFonts w:ascii="等线" w:eastAsia="等线" w:hAnsi="Times New Roman"/>
          <w:color w:val="000000"/>
        </w:rPr>
        <w:t xml:space="preserve">Co-author, "Differing 'One-stop Adjudication' Presumptions in Company Law Disputes?", 2023 </w:t>
      </w:r>
    </w:p>
    <w:p w14:paraId="48263D5E" w14:textId="77777777" w:rsidR="00542FFB" w:rsidRDefault="00542FFB" w:rsidP="00542FFB">
      <w:pPr>
        <w:pStyle w:val="af5"/>
        <w:numPr>
          <w:ilvl w:val="0"/>
          <w:numId w:val="45"/>
        </w:numPr>
        <w:spacing w:before="120"/>
        <w:ind w:left="690" w:hanging="240"/>
        <w:rPr>
          <w:rFonts w:ascii="等线" w:eastAsia="等线" w:hAnsi="Times New Roman"/>
          <w:color w:val="000000"/>
        </w:rPr>
      </w:pPr>
      <w:r w:rsidRPr="00542FFB">
        <w:rPr>
          <w:rFonts w:ascii="等线" w:eastAsia="等线" w:hAnsi="Times New Roman"/>
          <w:color w:val="000000"/>
        </w:rPr>
        <w:t xml:space="preserve">Co-author, "Restricting Absolute Immunity </w:t>
      </w:r>
      <w:r w:rsidRPr="00542FFB">
        <w:rPr>
          <w:rFonts w:ascii="等线" w:eastAsia="等线" w:hAnsi="Times New Roman"/>
          <w:color w:val="000000"/>
        </w:rPr>
        <w:t>–</w:t>
      </w:r>
      <w:r w:rsidRPr="00542FFB">
        <w:rPr>
          <w:rFonts w:ascii="等线" w:eastAsia="等线" w:hAnsi="Times New Roman"/>
          <w:color w:val="000000"/>
        </w:rPr>
        <w:t xml:space="preserve"> China Promulgates Foreign State Immunity Law", 2023 </w:t>
      </w:r>
    </w:p>
    <w:p w14:paraId="17A2222A" w14:textId="77777777" w:rsidR="00542FFB" w:rsidRDefault="00542FFB" w:rsidP="00542FFB">
      <w:pPr>
        <w:pStyle w:val="af5"/>
        <w:numPr>
          <w:ilvl w:val="0"/>
          <w:numId w:val="46"/>
        </w:numPr>
        <w:spacing w:before="120"/>
        <w:ind w:left="690" w:hanging="240"/>
        <w:rPr>
          <w:rFonts w:ascii="等线" w:eastAsia="等线" w:hAnsi="Times New Roman"/>
          <w:color w:val="000000"/>
        </w:rPr>
      </w:pPr>
      <w:r w:rsidRPr="00542FFB">
        <w:rPr>
          <w:rFonts w:ascii="等线" w:eastAsia="等线" w:hAnsi="Times New Roman"/>
          <w:color w:val="000000"/>
        </w:rPr>
        <w:t xml:space="preserve">"State immunity and arbitration in China", LexisNexis, 2024 </w:t>
      </w:r>
    </w:p>
    <w:p w14:paraId="5567FC3C" w14:textId="6537D2CA" w:rsidR="00686369" w:rsidRPr="00542FFB" w:rsidRDefault="00542FFB" w:rsidP="00542FFB">
      <w:pPr>
        <w:pStyle w:val="af5"/>
        <w:numPr>
          <w:ilvl w:val="0"/>
          <w:numId w:val="47"/>
        </w:numPr>
        <w:spacing w:before="120"/>
        <w:ind w:left="690" w:hanging="240"/>
        <w:rPr>
          <w:rFonts w:ascii="等线" w:eastAsia="等线" w:hAnsi="Times New Roman"/>
          <w:color w:val="000000"/>
        </w:rPr>
      </w:pPr>
      <w:r w:rsidRPr="00542FFB">
        <w:rPr>
          <w:rFonts w:ascii="等线" w:eastAsia="等线" w:hAnsi="Times New Roman"/>
          <w:color w:val="000000"/>
        </w:rPr>
        <w:t xml:space="preserve">Co-author, "Commercial Arbitration: Hong Kong", Global Arbitration Review, 2025 </w:t>
      </w:r>
    </w:p>
    <w:sectPr w:rsidR="00686369" w:rsidRPr="00542FFB"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8F5888"/>
    <w:multiLevelType w:val="singleLevel"/>
    <w:tmpl w:val="B756F86E"/>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9AD6B48"/>
    <w:multiLevelType w:val="singleLevel"/>
    <w:tmpl w:val="41F835EE"/>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B027AB3"/>
    <w:multiLevelType w:val="singleLevel"/>
    <w:tmpl w:val="533C8346"/>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B9F01A0"/>
    <w:multiLevelType w:val="singleLevel"/>
    <w:tmpl w:val="A0566FC0"/>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09E33CE"/>
    <w:multiLevelType w:val="singleLevel"/>
    <w:tmpl w:val="8AAC7FC6"/>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22F5884"/>
    <w:multiLevelType w:val="singleLevel"/>
    <w:tmpl w:val="49047766"/>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70F5F46"/>
    <w:multiLevelType w:val="singleLevel"/>
    <w:tmpl w:val="E794A1CA"/>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EBD7108"/>
    <w:multiLevelType w:val="singleLevel"/>
    <w:tmpl w:val="442A7AEE"/>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F37277B"/>
    <w:multiLevelType w:val="singleLevel"/>
    <w:tmpl w:val="AA04E150"/>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0022E0D"/>
    <w:multiLevelType w:val="singleLevel"/>
    <w:tmpl w:val="8E4EC82A"/>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443456F"/>
    <w:multiLevelType w:val="singleLevel"/>
    <w:tmpl w:val="34CE4C74"/>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646009C"/>
    <w:multiLevelType w:val="singleLevel"/>
    <w:tmpl w:val="94285A50"/>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B5A6850"/>
    <w:multiLevelType w:val="singleLevel"/>
    <w:tmpl w:val="15165E2A"/>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E646D74"/>
    <w:multiLevelType w:val="singleLevel"/>
    <w:tmpl w:val="AAFC141A"/>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EB21AA5"/>
    <w:multiLevelType w:val="singleLevel"/>
    <w:tmpl w:val="DD92D136"/>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6" w15:restartNumberingAfterBreak="0">
    <w:nsid w:val="3157099C"/>
    <w:multiLevelType w:val="singleLevel"/>
    <w:tmpl w:val="25D2557C"/>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25F1E98"/>
    <w:multiLevelType w:val="singleLevel"/>
    <w:tmpl w:val="0C3C9FF4"/>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4AC73DE"/>
    <w:multiLevelType w:val="singleLevel"/>
    <w:tmpl w:val="29E236D6"/>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0" w15:restartNumberingAfterBreak="0">
    <w:nsid w:val="3D622459"/>
    <w:multiLevelType w:val="singleLevel"/>
    <w:tmpl w:val="89D40196"/>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DFE0A0E"/>
    <w:multiLevelType w:val="singleLevel"/>
    <w:tmpl w:val="4288E39A"/>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3F5557DE"/>
    <w:multiLevelType w:val="singleLevel"/>
    <w:tmpl w:val="917E058E"/>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41FD4660"/>
    <w:multiLevelType w:val="singleLevel"/>
    <w:tmpl w:val="A870620A"/>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424A45E0"/>
    <w:multiLevelType w:val="singleLevel"/>
    <w:tmpl w:val="A0CE81C0"/>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430B463D"/>
    <w:multiLevelType w:val="singleLevel"/>
    <w:tmpl w:val="D6FACCF6"/>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435F46E5"/>
    <w:multiLevelType w:val="singleLevel"/>
    <w:tmpl w:val="384C3718"/>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448615C0"/>
    <w:multiLevelType w:val="singleLevel"/>
    <w:tmpl w:val="7AE87CEC"/>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45D71CAB"/>
    <w:multiLevelType w:val="singleLevel"/>
    <w:tmpl w:val="05C6D1CC"/>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4A2105DE"/>
    <w:multiLevelType w:val="singleLevel"/>
    <w:tmpl w:val="07F477F6"/>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4A2C2E49"/>
    <w:multiLevelType w:val="singleLevel"/>
    <w:tmpl w:val="87FC629A"/>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4D737909"/>
    <w:multiLevelType w:val="singleLevel"/>
    <w:tmpl w:val="1E589C46"/>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4DC961E7"/>
    <w:multiLevelType w:val="singleLevel"/>
    <w:tmpl w:val="533C8346"/>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53466C53"/>
    <w:multiLevelType w:val="singleLevel"/>
    <w:tmpl w:val="AF746732"/>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5F767698"/>
    <w:multiLevelType w:val="singleLevel"/>
    <w:tmpl w:val="F5CA044A"/>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60EF7E5A"/>
    <w:multiLevelType w:val="singleLevel"/>
    <w:tmpl w:val="02143056"/>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627C7BA2"/>
    <w:multiLevelType w:val="singleLevel"/>
    <w:tmpl w:val="48DEE2A8"/>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64F841C4"/>
    <w:multiLevelType w:val="singleLevel"/>
    <w:tmpl w:val="21FC1EB0"/>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6B8F1260"/>
    <w:multiLevelType w:val="singleLevel"/>
    <w:tmpl w:val="3F9CAB98"/>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6CDB5A95"/>
    <w:multiLevelType w:val="singleLevel"/>
    <w:tmpl w:val="585C4BC8"/>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72B14E83"/>
    <w:multiLevelType w:val="singleLevel"/>
    <w:tmpl w:val="AB7C23B8"/>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7317007B"/>
    <w:multiLevelType w:val="singleLevel"/>
    <w:tmpl w:val="8A3EDCE4"/>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77A30543"/>
    <w:multiLevelType w:val="singleLevel"/>
    <w:tmpl w:val="3EB6576E"/>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79620459"/>
    <w:multiLevelType w:val="singleLevel"/>
    <w:tmpl w:val="0CEC1B18"/>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7D0342E6"/>
    <w:multiLevelType w:val="singleLevel"/>
    <w:tmpl w:val="2AE87C3C"/>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7F6642E9"/>
    <w:multiLevelType w:val="singleLevel"/>
    <w:tmpl w:val="142C59BE"/>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7FB46567"/>
    <w:multiLevelType w:val="singleLevel"/>
    <w:tmpl w:val="74A0B258"/>
    <w:lvl w:ilvl="0">
      <w:start w:val="1"/>
      <w:numFmt w:val="bullet"/>
      <w:lvlText w:val=""/>
      <w:lvlJc w:val="left"/>
      <w:pPr>
        <w:tabs>
          <w:tab w:val="num" w:pos="200"/>
        </w:tabs>
        <w:ind w:left="200" w:hanging="200"/>
      </w:pPr>
      <w:rPr>
        <w:rFonts w:ascii="Wingdings" w:hAnsi="Wingdings" w:hint="default"/>
        <w:sz w:val="16"/>
      </w:rPr>
    </w:lvl>
  </w:abstractNum>
  <w:num w:numId="1">
    <w:abstractNumId w:val="15"/>
  </w:num>
  <w:num w:numId="2">
    <w:abstractNumId w:val="19"/>
  </w:num>
  <w:num w:numId="3">
    <w:abstractNumId w:val="37"/>
  </w:num>
  <w:num w:numId="4">
    <w:abstractNumId w:val="35"/>
  </w:num>
  <w:num w:numId="5">
    <w:abstractNumId w:val="39"/>
  </w:num>
  <w:num w:numId="6">
    <w:abstractNumId w:val="36"/>
  </w:num>
  <w:num w:numId="7">
    <w:abstractNumId w:val="40"/>
  </w:num>
  <w:num w:numId="8">
    <w:abstractNumId w:val="34"/>
  </w:num>
  <w:num w:numId="9">
    <w:abstractNumId w:val="42"/>
  </w:num>
  <w:num w:numId="10">
    <w:abstractNumId w:val="26"/>
  </w:num>
  <w:num w:numId="11">
    <w:abstractNumId w:val="0"/>
  </w:num>
  <w:num w:numId="12">
    <w:abstractNumId w:val="13"/>
  </w:num>
  <w:num w:numId="13">
    <w:abstractNumId w:val="23"/>
  </w:num>
  <w:num w:numId="14">
    <w:abstractNumId w:val="20"/>
  </w:num>
  <w:num w:numId="15">
    <w:abstractNumId w:val="8"/>
  </w:num>
  <w:num w:numId="16">
    <w:abstractNumId w:val="10"/>
  </w:num>
  <w:num w:numId="17">
    <w:abstractNumId w:val="17"/>
  </w:num>
  <w:num w:numId="18">
    <w:abstractNumId w:val="45"/>
  </w:num>
  <w:num w:numId="19">
    <w:abstractNumId w:val="6"/>
  </w:num>
  <w:num w:numId="20">
    <w:abstractNumId w:val="14"/>
  </w:num>
  <w:num w:numId="21">
    <w:abstractNumId w:val="22"/>
  </w:num>
  <w:num w:numId="22">
    <w:abstractNumId w:val="12"/>
  </w:num>
  <w:num w:numId="23">
    <w:abstractNumId w:val="43"/>
  </w:num>
  <w:num w:numId="24">
    <w:abstractNumId w:val="41"/>
  </w:num>
  <w:num w:numId="25">
    <w:abstractNumId w:val="30"/>
  </w:num>
  <w:num w:numId="26">
    <w:abstractNumId w:val="3"/>
  </w:num>
  <w:num w:numId="27">
    <w:abstractNumId w:val="29"/>
  </w:num>
  <w:num w:numId="28">
    <w:abstractNumId w:val="31"/>
  </w:num>
  <w:num w:numId="29">
    <w:abstractNumId w:val="38"/>
  </w:num>
  <w:num w:numId="30">
    <w:abstractNumId w:val="18"/>
  </w:num>
  <w:num w:numId="31">
    <w:abstractNumId w:val="7"/>
  </w:num>
  <w:num w:numId="32">
    <w:abstractNumId w:val="27"/>
  </w:num>
  <w:num w:numId="33">
    <w:abstractNumId w:val="44"/>
  </w:num>
  <w:num w:numId="34">
    <w:abstractNumId w:val="28"/>
  </w:num>
  <w:num w:numId="35">
    <w:abstractNumId w:val="4"/>
  </w:num>
  <w:num w:numId="36">
    <w:abstractNumId w:val="16"/>
  </w:num>
  <w:num w:numId="37">
    <w:abstractNumId w:val="46"/>
  </w:num>
  <w:num w:numId="38">
    <w:abstractNumId w:val="24"/>
  </w:num>
  <w:num w:numId="39">
    <w:abstractNumId w:val="5"/>
  </w:num>
  <w:num w:numId="40">
    <w:abstractNumId w:val="1"/>
  </w:num>
  <w:num w:numId="41">
    <w:abstractNumId w:val="21"/>
  </w:num>
  <w:num w:numId="42">
    <w:abstractNumId w:val="9"/>
  </w:num>
  <w:num w:numId="43">
    <w:abstractNumId w:val="25"/>
  </w:num>
  <w:num w:numId="44">
    <w:abstractNumId w:val="33"/>
  </w:num>
  <w:num w:numId="45">
    <w:abstractNumId w:val="11"/>
  </w:num>
  <w:num w:numId="46">
    <w:abstractNumId w:val="2"/>
  </w:num>
  <w:num w:numId="47">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42FFB"/>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542FFB"/>
    <w:pPr>
      <w:spacing w:after="120"/>
    </w:pPr>
  </w:style>
  <w:style w:type="character" w:customStyle="1" w:styleId="af6">
    <w:name w:val="正文文本 字符"/>
    <w:basedOn w:val="a0"/>
    <w:link w:val="af5"/>
    <w:uiPriority w:val="99"/>
    <w:rsid w:val="00542FFB"/>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3C923C-5148-4192-8E58-9A1FE38DAC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1014</Words>
  <Characters>5780</Characters>
  <Application>Microsoft Office Word</Application>
  <DocSecurity>0</DocSecurity>
  <Lines>48</Lines>
  <Paragraphs>13</Paragraphs>
  <ScaleCrop>false</ScaleCrop>
  <Company/>
  <LinksUpToDate>false</LinksUpToDate>
  <CharactersWithSpaces>6781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2026-10-08T22:33:00Z</dcterms:created>
  <dcterms:modified xsi:type="dcterms:W3CDTF">2026-10-08T22:33:00Z</dcterms:modified>
</cp:coreProperties>
</file>