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9F40CFA" w:rsidR="0049405C" w:rsidRPr="00C24D79" w:rsidRDefault="000D4EDA" w:rsidP="000D4ED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D4EDA">
              <w:rPr>
                <w:rFonts w:ascii="等线" w:eastAsia="等线" w:hAnsi="Times New Roman"/>
                <w:b/>
                <w:color w:val="000000"/>
                <w:sz w:val="48"/>
              </w:rPr>
              <w:t>WU CHENG</w:t>
            </w:r>
            <w:bookmarkEnd w:id="0"/>
          </w:p>
          <w:p w14:paraId="706EB16B" w14:textId="52A2D56B" w:rsidR="0049405C" w:rsidRPr="00C24D79" w:rsidRDefault="000D4EDA" w:rsidP="000D4ED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D4ED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0D4ED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D4ED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BE25AB6" w:rsidR="0049405C" w:rsidRPr="00C24D79" w:rsidRDefault="000D4EDA" w:rsidP="000D4ED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D4EDA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45BEE716" w:rsidR="0049405C" w:rsidRPr="00C24D79" w:rsidRDefault="000D4EDA" w:rsidP="000D4ED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D4EDA">
              <w:rPr>
                <w:rFonts w:ascii="等线" w:eastAsia="等线" w:hAnsi="Times New Roman"/>
                <w:color w:val="000000"/>
              </w:rPr>
              <w:t>Cheng.Wu@fangdalaw.com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1EE1690" w:rsidR="0049405C" w:rsidRPr="00C24D79" w:rsidRDefault="000D4ED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5E488C6" wp14:editId="35522E97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7B41135" w:rsidR="009465FB" w:rsidRPr="00C24D79" w:rsidRDefault="000D4ED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D4EDA">
              <w:rPr>
                <w:rFonts w:ascii="等线" w:eastAsia="等线" w:hAnsi="Times New Roman"/>
                <w:color w:val="000000"/>
                <w:szCs w:val="21"/>
              </w:rPr>
              <w:t>MR. WU SPECIALIZES IN SECURITIES OFFERING AND LISTING, LISTED CORPORATION M&amp;A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3899208" w14:textId="77777777" w:rsidR="000D4ED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35D7C2D" w14:textId="77777777" w:rsidR="000D4EDA" w:rsidRDefault="000D4EDA" w:rsidP="000D4ED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D4EDA">
        <w:rPr>
          <w:rFonts w:ascii="等线" w:eastAsia="等线" w:hAnsi="等线"/>
          <w:b/>
          <w:sz w:val="24"/>
        </w:rPr>
        <w:t>REPRESENTATIVE MATTERS AND CASES</w:t>
      </w:r>
    </w:p>
    <w:p w14:paraId="46053F00" w14:textId="77777777" w:rsidR="000D4EDA" w:rsidRDefault="000D4EDA" w:rsidP="000D4EDA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160FCBB" w14:textId="77777777" w:rsidR="000D4EDA" w:rsidRDefault="000D4EDA" w:rsidP="000D4ED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Represented Rept Battero (00666.HK) in its H-share IPO and listing on the Stock Exchange of Hong Kong</w:t>
      </w:r>
    </w:p>
    <w:p w14:paraId="0170D454" w14:textId="77777777" w:rsidR="000D4EDA" w:rsidRDefault="000D4EDA" w:rsidP="000D4ED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Represented Wangbian Electric (603191.SH) in its A-share IPO and listing on the Shanghai Stock Exchange</w:t>
      </w:r>
    </w:p>
    <w:p w14:paraId="348EF4B4" w14:textId="77777777" w:rsidR="000D4EDA" w:rsidRDefault="000D4EDA" w:rsidP="000D4ED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Represented the sponsor in connection with the A-share IPO and listing on the Shanghai Stock Exchange STAR market of HCFA (688320.SH)</w:t>
      </w:r>
    </w:p>
    <w:p w14:paraId="683D282C" w14:textId="77777777" w:rsidR="000D4EDA" w:rsidRDefault="000D4EDA" w:rsidP="000D4ED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Represented Asieris Pharmaceuticals (688176.SH) in its A-share IPO and listing on the Shanghai Stock Exchange STAR market</w:t>
      </w:r>
    </w:p>
    <w:p w14:paraId="116C4C09" w14:textId="77777777" w:rsidR="000D4EDA" w:rsidRDefault="000D4EDA" w:rsidP="000D4ED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Represented Keysino (300899.SZ) in its A-share IPO and listing on the Shenzhen Stock Exchange ChiNext market</w:t>
      </w:r>
    </w:p>
    <w:p w14:paraId="35931293" w14:textId="77777777" w:rsidR="000D4EDA" w:rsidRDefault="000D4EDA" w:rsidP="000D4ED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Represented the sponsor in connection with the A-share IPO and listing on the Shanghai Stock Exchange STAR market of Endovastec MedTech (688016.SH)</w:t>
      </w:r>
    </w:p>
    <w:p w14:paraId="1CDD8F2F" w14:textId="77777777" w:rsidR="000D4EDA" w:rsidRDefault="000D4EDA" w:rsidP="000D4ED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Represented Zheshang Securities (6001878.SH) in its A-share IPO and listing on the Shanghai Stock Exchange, its issuance of convertible bonds in 2019, its non-public issuance of A-shares in 2021, and its convertible bond issuance of convertible bonds in 2022</w:t>
      </w:r>
    </w:p>
    <w:p w14:paraId="1FE1A0D8" w14:textId="77777777" w:rsidR="000D4EDA" w:rsidRDefault="000D4EDA" w:rsidP="000D4ED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Represented Tao Capital in its investments in Smartbeam Technology</w:t>
      </w:r>
    </w:p>
    <w:p w14:paraId="0BB68B5A" w14:textId="77777777" w:rsidR="000D4EDA" w:rsidRDefault="000D4EDA" w:rsidP="000D4ED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Represented Rept Battero in its Series A financing and Series B financing</w:t>
      </w:r>
    </w:p>
    <w:p w14:paraId="695BA3D7" w14:textId="77777777" w:rsidR="000D4EDA" w:rsidRDefault="000D4EDA" w:rsidP="000D4ED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Represented Colori in its Series A financing and Series B financing</w:t>
      </w:r>
    </w:p>
    <w:p w14:paraId="3CC11615" w14:textId="77777777" w:rsidR="000D4EDA" w:rsidRDefault="000D4EDA" w:rsidP="000D4ED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Represented Haid Group (002311.SZ) in its acquisition of Debao Group</w:t>
      </w:r>
    </w:p>
    <w:p w14:paraId="4EFD78B7" w14:textId="77777777" w:rsidR="000D4EDA" w:rsidRDefault="000D4EDA" w:rsidP="000D4ED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Represented China Fortune-Tech Capital in its investment in ETEK Micro-Electronics</w:t>
      </w:r>
    </w:p>
    <w:p w14:paraId="23462162" w14:textId="77777777" w:rsidR="000D4EDA" w:rsidRDefault="000D4EDA" w:rsidP="000D4ED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Represented SIENSOL EP in its acquisition of CECM (300385.SZ)</w:t>
      </w:r>
    </w:p>
    <w:p w14:paraId="09ACFA1D" w14:textId="77777777" w:rsidR="000D4EDA" w:rsidRDefault="000D4EDA" w:rsidP="000D4ED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Represented Shanghai TANDA in its acquisition of Jiujiang Sun.King Technology</w:t>
      </w:r>
    </w:p>
    <w:p w14:paraId="0AF605CC" w14:textId="77777777" w:rsidR="000D4EDA" w:rsidRDefault="000D4EDA" w:rsidP="000D4ED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Represented Sunic Capital in its acquisition of Xincomm</w:t>
      </w:r>
    </w:p>
    <w:p w14:paraId="5A21EA06" w14:textId="77777777" w:rsidR="000D4EDA" w:rsidRDefault="000D4EDA" w:rsidP="000D4ED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Represented Xinhua Capital in its investments in Henlius</w:t>
      </w:r>
    </w:p>
    <w:p w14:paraId="1D245055" w14:textId="77777777" w:rsidR="000D4EDA" w:rsidRDefault="000D4EDA" w:rsidP="000D4ED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D4EDA">
        <w:rPr>
          <w:rFonts w:ascii="等线" w:eastAsia="等线" w:hAnsi="等线"/>
          <w:b/>
          <w:sz w:val="24"/>
        </w:rPr>
        <w:t>Education</w:t>
      </w:r>
    </w:p>
    <w:p w14:paraId="1ADDBC0A" w14:textId="77777777" w:rsidR="000D4EDA" w:rsidRDefault="000D4EDA" w:rsidP="000D4ED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East China University of Political Science and Law, LL.B. (2013)</w:t>
      </w:r>
    </w:p>
    <w:p w14:paraId="44D03299" w14:textId="77777777" w:rsidR="000D4EDA" w:rsidRDefault="000D4EDA" w:rsidP="000D4ED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Shanghai International Studies University, B.A. (2013)</w:t>
      </w:r>
    </w:p>
    <w:p w14:paraId="28894C0D" w14:textId="77777777" w:rsidR="000D4EDA" w:rsidRDefault="000D4EDA" w:rsidP="000D4ED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Shanghai Academy of Social Sciences, LL.M. (2016)</w:t>
      </w:r>
    </w:p>
    <w:p w14:paraId="53FBA04E" w14:textId="77777777" w:rsidR="000D4EDA" w:rsidRDefault="000D4EDA" w:rsidP="000D4ED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D4EDA">
        <w:rPr>
          <w:rFonts w:ascii="等线" w:eastAsia="等线" w:hAnsi="等线"/>
          <w:b/>
          <w:sz w:val="24"/>
        </w:rPr>
        <w:t>Professional Qualification</w:t>
      </w:r>
    </w:p>
    <w:p w14:paraId="2E43E468" w14:textId="77777777" w:rsidR="000D4EDA" w:rsidRDefault="000D4EDA" w:rsidP="000D4ED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Admitted to practice in the PRC</w:t>
      </w:r>
    </w:p>
    <w:p w14:paraId="7776A294" w14:textId="77777777" w:rsidR="000D4EDA" w:rsidRDefault="000D4EDA" w:rsidP="000D4ED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D4EDA">
        <w:rPr>
          <w:rFonts w:ascii="等线" w:eastAsia="等线" w:hAnsi="等线"/>
          <w:b/>
          <w:sz w:val="24"/>
        </w:rPr>
        <w:t>Professional Background</w:t>
      </w:r>
    </w:p>
    <w:p w14:paraId="5567FC3C" w14:textId="1D47FDDB" w:rsidR="00686369" w:rsidRPr="000D4EDA" w:rsidRDefault="000D4EDA" w:rsidP="000D4ED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4EDA">
        <w:rPr>
          <w:rFonts w:ascii="等线" w:eastAsia="等线" w:hAnsi="Times New Roman"/>
          <w:color w:val="000000"/>
        </w:rPr>
        <w:t>Mr. Wu joined Fangda in 2022. Before joining the firm, he worked at a leading law firm in capital markets.</w:t>
      </w:r>
    </w:p>
    <w:sectPr w:rsidR="00686369" w:rsidRPr="000D4ED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16A32"/>
    <w:multiLevelType w:val="singleLevel"/>
    <w:tmpl w:val="466895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C41873"/>
    <w:multiLevelType w:val="singleLevel"/>
    <w:tmpl w:val="EE2CA3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67367CF"/>
    <w:multiLevelType w:val="singleLevel"/>
    <w:tmpl w:val="357657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85116D6"/>
    <w:multiLevelType w:val="singleLevel"/>
    <w:tmpl w:val="A25886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9E22B85"/>
    <w:multiLevelType w:val="singleLevel"/>
    <w:tmpl w:val="9B5C9B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A76059"/>
    <w:multiLevelType w:val="singleLevel"/>
    <w:tmpl w:val="5D9482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F83F8B"/>
    <w:multiLevelType w:val="singleLevel"/>
    <w:tmpl w:val="DBC24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6B93C3E"/>
    <w:multiLevelType w:val="singleLevel"/>
    <w:tmpl w:val="9F32A7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F0E621C"/>
    <w:multiLevelType w:val="singleLevel"/>
    <w:tmpl w:val="49AE17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4BB2BE8"/>
    <w:multiLevelType w:val="singleLevel"/>
    <w:tmpl w:val="DBC24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638303D"/>
    <w:multiLevelType w:val="singleLevel"/>
    <w:tmpl w:val="345651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8375ADE"/>
    <w:multiLevelType w:val="singleLevel"/>
    <w:tmpl w:val="B86216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9E13906"/>
    <w:multiLevelType w:val="singleLevel"/>
    <w:tmpl w:val="0B449D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CF94A7C"/>
    <w:multiLevelType w:val="singleLevel"/>
    <w:tmpl w:val="BDCE3A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0F23CDF"/>
    <w:multiLevelType w:val="singleLevel"/>
    <w:tmpl w:val="5BD426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E124004"/>
    <w:multiLevelType w:val="singleLevel"/>
    <w:tmpl w:val="3A9263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28A51B9"/>
    <w:multiLevelType w:val="singleLevel"/>
    <w:tmpl w:val="BD8C3E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3D553EB"/>
    <w:multiLevelType w:val="singleLevel"/>
    <w:tmpl w:val="920C81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BF632E8"/>
    <w:multiLevelType w:val="singleLevel"/>
    <w:tmpl w:val="76BA31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38C306E"/>
    <w:multiLevelType w:val="singleLevel"/>
    <w:tmpl w:val="58B8F5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54357E6"/>
    <w:multiLevelType w:val="singleLevel"/>
    <w:tmpl w:val="B6CA1B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A0C612A"/>
    <w:multiLevelType w:val="singleLevel"/>
    <w:tmpl w:val="4D1471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4"/>
  </w:num>
  <w:num w:numId="3">
    <w:abstractNumId w:val="9"/>
  </w:num>
  <w:num w:numId="4">
    <w:abstractNumId w:val="22"/>
  </w:num>
  <w:num w:numId="5">
    <w:abstractNumId w:val="4"/>
  </w:num>
  <w:num w:numId="6">
    <w:abstractNumId w:val="20"/>
  </w:num>
  <w:num w:numId="7">
    <w:abstractNumId w:val="16"/>
  </w:num>
  <w:num w:numId="8">
    <w:abstractNumId w:val="18"/>
  </w:num>
  <w:num w:numId="9">
    <w:abstractNumId w:val="12"/>
  </w:num>
  <w:num w:numId="10">
    <w:abstractNumId w:val="7"/>
  </w:num>
  <w:num w:numId="11">
    <w:abstractNumId w:val="23"/>
  </w:num>
  <w:num w:numId="12">
    <w:abstractNumId w:val="13"/>
  </w:num>
  <w:num w:numId="13">
    <w:abstractNumId w:val="21"/>
  </w:num>
  <w:num w:numId="14">
    <w:abstractNumId w:val="1"/>
  </w:num>
  <w:num w:numId="15">
    <w:abstractNumId w:val="0"/>
  </w:num>
  <w:num w:numId="16">
    <w:abstractNumId w:val="17"/>
  </w:num>
  <w:num w:numId="17">
    <w:abstractNumId w:val="19"/>
  </w:num>
  <w:num w:numId="18">
    <w:abstractNumId w:val="15"/>
  </w:num>
  <w:num w:numId="19">
    <w:abstractNumId w:val="11"/>
  </w:num>
  <w:num w:numId="20">
    <w:abstractNumId w:val="2"/>
  </w:num>
  <w:num w:numId="21">
    <w:abstractNumId w:val="3"/>
  </w:num>
  <w:num w:numId="22">
    <w:abstractNumId w:val="5"/>
  </w:num>
  <w:num w:numId="23">
    <w:abstractNumId w:val="1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D4EDA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D4ED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D4ED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7E40E2B-64B1-4C33-AA5E-2C8569967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2026-09-17T22:13:00Z</dcterms:created>
  <dcterms:modified xsi:type="dcterms:W3CDTF">2026-09-17T22:13:00Z</dcterms:modified>
</cp:coreProperties>
</file>