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2CE892" w:rsidR="0049405C" w:rsidRPr="00C24D79" w:rsidRDefault="00227A58" w:rsidP="00227A5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27A58">
              <w:rPr>
                <w:rFonts w:ascii="等线" w:eastAsia="等线" w:hAnsi="Times New Roman"/>
                <w:b/>
                <w:color w:val="000000"/>
                <w:sz w:val="48"/>
              </w:rPr>
              <w:t>HUA NAN</w:t>
            </w:r>
            <w:bookmarkEnd w:id="0"/>
          </w:p>
          <w:p w14:paraId="706EB16B" w14:textId="77E2ED39" w:rsidR="0049405C" w:rsidRPr="00C24D79" w:rsidRDefault="00227A58" w:rsidP="00227A5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27A5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27A5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27A5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7B388C9" w:rsidR="0049405C" w:rsidRPr="00C24D79" w:rsidRDefault="00227A58" w:rsidP="00227A5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27A58">
              <w:rPr>
                <w:rFonts w:ascii="等线" w:eastAsia="等线" w:hAnsi="Times New Roman"/>
                <w:color w:val="000000"/>
              </w:rPr>
              <w:t>+86 10 5769 5718</w:t>
            </w:r>
            <w:bookmarkEnd w:id="3"/>
          </w:p>
          <w:p w14:paraId="4F910ACA" w14:textId="1D936236" w:rsidR="0049405C" w:rsidRPr="00C24D79" w:rsidRDefault="00227A58" w:rsidP="00227A5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27A58">
              <w:rPr>
                <w:rFonts w:ascii="等线" w:eastAsia="等线" w:hAnsi="Times New Roman"/>
                <w:color w:val="000000"/>
              </w:rPr>
              <w:t>nan.hua@fangdalaw.com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E6BA38B" w:rsidR="0049405C" w:rsidRPr="00C24D79" w:rsidRDefault="00227A5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6E0AF3" wp14:editId="7720780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A2B6744" w:rsidR="009465FB" w:rsidRPr="00C24D79" w:rsidRDefault="00227A5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27A58">
              <w:rPr>
                <w:rFonts w:ascii="等线" w:eastAsia="等线" w:hAnsi="Times New Roman"/>
                <w:color w:val="000000"/>
                <w:szCs w:val="21"/>
              </w:rPr>
              <w:t>MS. HUA SPECIALIZES IN GENERAL CORPORATE FINANCE AREAS, INCLUDING PRIVATE EQUITY AND VENTURE CAPITAL INVESTMENTS, M&amp;A, AND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8E3EF6" w14:textId="77777777" w:rsidR="00227A5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DF07A3F" w14:textId="77777777" w:rsidR="00227A58" w:rsidRDefault="00227A58" w:rsidP="00227A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7A58">
        <w:rPr>
          <w:rFonts w:ascii="等线" w:eastAsia="等线" w:hAnsi="等线"/>
          <w:b/>
          <w:sz w:val="24"/>
        </w:rPr>
        <w:t>REPRESENTATIVE MATTERS AND CASES</w:t>
      </w:r>
    </w:p>
    <w:p w14:paraId="3DF7F89A" w14:textId="77777777" w:rsidR="00227A58" w:rsidRDefault="00227A58" w:rsidP="00227A5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4EDFC5E" w14:textId="77777777" w:rsidR="00227A58" w:rsidRDefault="00227A58" w:rsidP="00227A5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NIO Capital on its investments in multiple projects including SiChain Semiconductor, E-Charging Semiconductor, Nali New Materials, Shanghai Superconductor, etc.</w:t>
      </w:r>
    </w:p>
    <w:p w14:paraId="2C8D95E3" w14:textId="77777777" w:rsidR="00227A58" w:rsidRDefault="00227A58" w:rsidP="00227A5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Ant Group on its investments in multiple robotics projects including AheadForm (embodied robots), Hypershell (wearable robots) and Joyin Intelligence (consumer-grade robots), etc.</w:t>
      </w:r>
    </w:p>
    <w:p w14:paraId="79349A01" w14:textId="77777777" w:rsidR="00227A58" w:rsidRDefault="00227A58" w:rsidP="00227A5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CDH Investments on its investments in multiple projects including Dianxiaomi, Acchrom Tech, UniXell Biotech, etc.</w:t>
      </w:r>
    </w:p>
    <w:p w14:paraId="49A6A3D3" w14:textId="77777777" w:rsidR="00227A58" w:rsidRDefault="00227A58" w:rsidP="00227A5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Sequoia Capital China on its investments in multiple projects including Kuayue Express, Ubras, etc.</w:t>
      </w:r>
    </w:p>
    <w:p w14:paraId="1FE1960E" w14:textId="77777777" w:rsidR="00227A58" w:rsidRDefault="00227A58" w:rsidP="00227A5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Momenta on multiple rounds of financing and business cooperation with institutional financial investors and industrial strategic investors.</w:t>
      </w:r>
    </w:p>
    <w:p w14:paraId="5D29D62D" w14:textId="77777777" w:rsidR="00227A58" w:rsidRDefault="00227A58" w:rsidP="00227A5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Momenta on its investments in ZERON Auto, Xiangdao Mobility and GenRobot AI.</w:t>
      </w:r>
    </w:p>
    <w:p w14:paraId="744E944B" w14:textId="77777777" w:rsidR="00227A58" w:rsidRDefault="00227A58" w:rsidP="00227A5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Pony AI on multiple rounds of financing and business cooperation with institutional financial investors and industrial strategic investors.</w:t>
      </w:r>
    </w:p>
    <w:p w14:paraId="1D644677" w14:textId="77777777" w:rsidR="00227A58" w:rsidRDefault="00227A58" w:rsidP="00227A5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ByteDance on the divestiture of Tuchong and multiple computer game projects.</w:t>
      </w:r>
    </w:p>
    <w:p w14:paraId="12E46543" w14:textId="77777777" w:rsidR="00227A58" w:rsidRDefault="00227A58" w:rsidP="00227A5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Warburg Pincus on its acquisition of Leyou Group.</w:t>
      </w:r>
    </w:p>
    <w:p w14:paraId="0E9DE5A4" w14:textId="77777777" w:rsidR="00227A58" w:rsidRDefault="00227A58" w:rsidP="00227A5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Advised Hillhouse Capital, SoftBank Vision Fund, IDG Capital, Gaorong Capital, ZhenFund, Northern Light Venture Capital, Source Code Capital, Lightspeed, FountainVest, Eight Roads, Tianshan Capital across a broad portfolio of investment and M&amp;A transactions.</w:t>
      </w:r>
    </w:p>
    <w:p w14:paraId="75DBC2FF" w14:textId="77777777" w:rsidR="00227A58" w:rsidRDefault="00227A58" w:rsidP="00227A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7A58">
        <w:rPr>
          <w:rFonts w:ascii="等线" w:eastAsia="等线" w:hAnsi="等线"/>
          <w:b/>
          <w:sz w:val="24"/>
        </w:rPr>
        <w:t>Education</w:t>
      </w:r>
    </w:p>
    <w:p w14:paraId="122A291D" w14:textId="77777777" w:rsidR="00227A58" w:rsidRDefault="00227A58" w:rsidP="00227A5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Renmin University of China, School of Law, LL.B 2014</w:t>
      </w:r>
    </w:p>
    <w:p w14:paraId="34CF1E66" w14:textId="77777777" w:rsidR="00227A58" w:rsidRDefault="00227A58" w:rsidP="00227A5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Vanderbilt University Law School, LL.M 2015</w:t>
      </w:r>
    </w:p>
    <w:p w14:paraId="1F84C83D" w14:textId="77777777" w:rsidR="00227A58" w:rsidRDefault="00227A58" w:rsidP="00227A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7A58">
        <w:rPr>
          <w:rFonts w:ascii="等线" w:eastAsia="等线" w:hAnsi="等线"/>
          <w:b/>
          <w:sz w:val="24"/>
        </w:rPr>
        <w:t>Professional Qualification</w:t>
      </w:r>
    </w:p>
    <w:p w14:paraId="7313B7F7" w14:textId="77777777" w:rsidR="00227A58" w:rsidRDefault="00227A58" w:rsidP="00227A5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Admitted to practice in the PRC</w:t>
      </w:r>
    </w:p>
    <w:p w14:paraId="303DC904" w14:textId="77777777" w:rsidR="00227A58" w:rsidRDefault="00227A58" w:rsidP="00227A5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Admitted to practice in New York (non-practicing)</w:t>
      </w:r>
    </w:p>
    <w:p w14:paraId="399888B1" w14:textId="77777777" w:rsidR="00227A58" w:rsidRDefault="00227A58" w:rsidP="00227A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7A58">
        <w:rPr>
          <w:rFonts w:ascii="等线" w:eastAsia="等线" w:hAnsi="等线"/>
          <w:b/>
          <w:sz w:val="24"/>
        </w:rPr>
        <w:t>Work Language</w:t>
      </w:r>
    </w:p>
    <w:p w14:paraId="4DF09B54" w14:textId="77777777" w:rsidR="00227A58" w:rsidRDefault="00227A58" w:rsidP="00227A5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Chinese</w:t>
      </w:r>
    </w:p>
    <w:p w14:paraId="5401C5CA" w14:textId="77777777" w:rsidR="00227A58" w:rsidRDefault="00227A58" w:rsidP="00227A5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English</w:t>
      </w:r>
    </w:p>
    <w:p w14:paraId="27132764" w14:textId="77777777" w:rsidR="00227A58" w:rsidRDefault="00227A58" w:rsidP="00227A5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7A58">
        <w:rPr>
          <w:rFonts w:ascii="等线" w:eastAsia="等线" w:hAnsi="等线"/>
          <w:b/>
          <w:sz w:val="24"/>
        </w:rPr>
        <w:t>Professional Background</w:t>
      </w:r>
    </w:p>
    <w:p w14:paraId="5567FC3C" w14:textId="24DAE958" w:rsidR="00686369" w:rsidRPr="00227A58" w:rsidRDefault="00227A58" w:rsidP="00227A5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7A58">
        <w:rPr>
          <w:rFonts w:ascii="等线" w:eastAsia="等线" w:hAnsi="Times New Roman"/>
          <w:color w:val="000000"/>
        </w:rPr>
        <w:t>Ms. Hua joined Fangda in 2021. Prior to joining the firm, she worked at other leading Chinese law firms.</w:t>
      </w:r>
    </w:p>
    <w:sectPr w:rsidR="00686369" w:rsidRPr="00227A5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7AB8"/>
    <w:multiLevelType w:val="singleLevel"/>
    <w:tmpl w:val="38FED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035BAF"/>
    <w:multiLevelType w:val="singleLevel"/>
    <w:tmpl w:val="FA6A6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E164AE"/>
    <w:multiLevelType w:val="singleLevel"/>
    <w:tmpl w:val="7136A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0D7BD1"/>
    <w:multiLevelType w:val="singleLevel"/>
    <w:tmpl w:val="4E626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83754D"/>
    <w:multiLevelType w:val="singleLevel"/>
    <w:tmpl w:val="AD7A9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942487"/>
    <w:multiLevelType w:val="singleLevel"/>
    <w:tmpl w:val="6AF0E8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236123"/>
    <w:multiLevelType w:val="singleLevel"/>
    <w:tmpl w:val="5F141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E64A8E"/>
    <w:multiLevelType w:val="singleLevel"/>
    <w:tmpl w:val="3CAE4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472F68"/>
    <w:multiLevelType w:val="singleLevel"/>
    <w:tmpl w:val="B15A7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12438BC"/>
    <w:multiLevelType w:val="singleLevel"/>
    <w:tmpl w:val="8DA6C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A94027"/>
    <w:multiLevelType w:val="singleLevel"/>
    <w:tmpl w:val="96A84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D02396"/>
    <w:multiLevelType w:val="singleLevel"/>
    <w:tmpl w:val="1E0CF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57B6961"/>
    <w:multiLevelType w:val="singleLevel"/>
    <w:tmpl w:val="FA6A6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2D1506"/>
    <w:multiLevelType w:val="singleLevel"/>
    <w:tmpl w:val="EC88C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ED513D"/>
    <w:multiLevelType w:val="singleLevel"/>
    <w:tmpl w:val="40289B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395FA2"/>
    <w:multiLevelType w:val="singleLevel"/>
    <w:tmpl w:val="6CF6A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AED34BD"/>
    <w:multiLevelType w:val="singleLevel"/>
    <w:tmpl w:val="1CBA7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DD0C20"/>
    <w:multiLevelType w:val="singleLevel"/>
    <w:tmpl w:val="31A27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3"/>
  </w:num>
  <w:num w:numId="5">
    <w:abstractNumId w:val="19"/>
  </w:num>
  <w:num w:numId="6">
    <w:abstractNumId w:val="11"/>
  </w:num>
  <w:num w:numId="7">
    <w:abstractNumId w:val="18"/>
  </w:num>
  <w:num w:numId="8">
    <w:abstractNumId w:val="16"/>
  </w:num>
  <w:num w:numId="9">
    <w:abstractNumId w:val="13"/>
  </w:num>
  <w:num w:numId="10">
    <w:abstractNumId w:val="12"/>
  </w:num>
  <w:num w:numId="11">
    <w:abstractNumId w:val="4"/>
  </w:num>
  <w:num w:numId="12">
    <w:abstractNumId w:val="17"/>
  </w:num>
  <w:num w:numId="13">
    <w:abstractNumId w:val="0"/>
  </w:num>
  <w:num w:numId="14">
    <w:abstractNumId w:val="15"/>
  </w:num>
  <w:num w:numId="15">
    <w:abstractNumId w:val="6"/>
  </w:num>
  <w:num w:numId="16">
    <w:abstractNumId w:val="9"/>
  </w:num>
  <w:num w:numId="17">
    <w:abstractNumId w:val="7"/>
  </w:num>
  <w:num w:numId="18">
    <w:abstractNumId w:val="5"/>
  </w:num>
  <w:num w:numId="19">
    <w:abstractNumId w:val="1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27A58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27A5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27A5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07BA2D4-5FB0-4F85-BCE6-FA3F872AB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2026-10-08T23:16:00Z</dcterms:created>
  <dcterms:modified xsi:type="dcterms:W3CDTF">2026-10-08T23:16:00Z</dcterms:modified>
</cp:coreProperties>
</file>