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5F9F3080" w:rsidR="0049405C" w:rsidRPr="00C24D79" w:rsidRDefault="00082D72" w:rsidP="00082D72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082D72">
              <w:rPr>
                <w:rFonts w:ascii="等线" w:eastAsia="等线" w:hAnsi="Times New Roman"/>
                <w:b/>
                <w:color w:val="000000"/>
                <w:sz w:val="48"/>
              </w:rPr>
              <w:t>HUA NAN</w:t>
            </w:r>
            <w:bookmarkEnd w:id="0"/>
          </w:p>
          <w:p w14:paraId="706EB16B" w14:textId="791477E3" w:rsidR="0049405C" w:rsidRPr="00C24D79" w:rsidRDefault="00082D72" w:rsidP="00082D72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082D72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082D72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082D72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2148340E" w:rsidR="0049405C" w:rsidRPr="00C24D79" w:rsidRDefault="00082D72" w:rsidP="00082D72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082D72">
              <w:rPr>
                <w:rFonts w:ascii="等线" w:eastAsia="等线" w:hAnsi="Times New Roman"/>
                <w:color w:val="000000"/>
              </w:rPr>
              <w:t>+86 10 5769 5718</w:t>
            </w:r>
            <w:bookmarkEnd w:id="3"/>
          </w:p>
          <w:p w14:paraId="4F910ACA" w14:textId="6A01C8D6" w:rsidR="0049405C" w:rsidRPr="00C24D79" w:rsidRDefault="00082D72" w:rsidP="00082D72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082D72">
              <w:rPr>
                <w:rFonts w:ascii="等线" w:eastAsia="等线" w:hAnsi="Times New Roman"/>
                <w:color w:val="000000"/>
              </w:rPr>
              <w:t>nan.hua@fangdalaw.com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2D6BB01C" w:rsidR="0049405C" w:rsidRPr="00C24D79" w:rsidRDefault="00082D72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174FF7D1" wp14:editId="546C3EE9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6182AC15" w:rsidR="009465FB" w:rsidRPr="00C24D79" w:rsidRDefault="00082D72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082D72">
              <w:rPr>
                <w:rFonts w:ascii="等线" w:eastAsia="等线" w:hAnsi="Times New Roman"/>
                <w:color w:val="000000"/>
                <w:szCs w:val="21"/>
              </w:rPr>
              <w:t>MS. HUA SPECIALIZES IN GENERAL CORPORATE FINANCE AREAS, INCLUDING PRIVATE EQUITY AND VENTURE CAPITAL INVESTMENTS, M&amp;A, AND FOREIGN DIRECT INVESTMENT, AND GENERAL CORPORATE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09F7CA55" w14:textId="77777777" w:rsidR="00082D72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5744B5A6" w14:textId="77777777" w:rsidR="00082D72" w:rsidRDefault="00082D72" w:rsidP="00082D7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82D72">
        <w:rPr>
          <w:rFonts w:ascii="等线" w:eastAsia="等线" w:hAnsi="等线"/>
          <w:b/>
          <w:sz w:val="24"/>
        </w:rPr>
        <w:t>REPRESENTATIVE MATTERS AND CASES</w:t>
      </w:r>
    </w:p>
    <w:p w14:paraId="5B0FEAF3" w14:textId="77777777" w:rsidR="00082D72" w:rsidRDefault="00082D72" w:rsidP="00082D72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70CD7A4E" w14:textId="77777777" w:rsidR="00082D72" w:rsidRDefault="00082D72" w:rsidP="00082D72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82D72">
        <w:rPr>
          <w:rFonts w:ascii="等线" w:eastAsia="等线" w:hAnsi="Times New Roman"/>
          <w:color w:val="000000"/>
        </w:rPr>
        <w:t>Advised NIO Capital on its investments in multiple projects including SiChain Semiconductor, E-Charging Semiconductor, Nali New Materials, Shanghai Superconductor, etc.</w:t>
      </w:r>
    </w:p>
    <w:p w14:paraId="15D3EC91" w14:textId="77777777" w:rsidR="00082D72" w:rsidRDefault="00082D72" w:rsidP="00082D72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82D72">
        <w:rPr>
          <w:rFonts w:ascii="等线" w:eastAsia="等线" w:hAnsi="Times New Roman"/>
          <w:color w:val="000000"/>
        </w:rPr>
        <w:t>Advised Ant Group on its investments in multiple robotics projects including AheadForm (embodied robots), Hypershell (wearable robots) and Joyin Intelligence (consumer-grade robots), etc.</w:t>
      </w:r>
    </w:p>
    <w:p w14:paraId="5F3B89A4" w14:textId="77777777" w:rsidR="00082D72" w:rsidRDefault="00082D72" w:rsidP="00082D72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82D72">
        <w:rPr>
          <w:rFonts w:ascii="等线" w:eastAsia="等线" w:hAnsi="Times New Roman"/>
          <w:color w:val="000000"/>
        </w:rPr>
        <w:t>Advised CDH Investments on its investments in multiple projects including Dianxiaomi, Acchrom Tech, UniXell Biotech, etc.</w:t>
      </w:r>
    </w:p>
    <w:p w14:paraId="01C66163" w14:textId="77777777" w:rsidR="00082D72" w:rsidRDefault="00082D72" w:rsidP="00082D72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82D72">
        <w:rPr>
          <w:rFonts w:ascii="等线" w:eastAsia="等线" w:hAnsi="Times New Roman"/>
          <w:color w:val="000000"/>
        </w:rPr>
        <w:t>Advised Sequoia Capital China on its investments in multiple projects including Kuayue Express, Ubras, etc.</w:t>
      </w:r>
    </w:p>
    <w:p w14:paraId="7FE94865" w14:textId="77777777" w:rsidR="00082D72" w:rsidRDefault="00082D72" w:rsidP="00082D72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82D72">
        <w:rPr>
          <w:rFonts w:ascii="等线" w:eastAsia="等线" w:hAnsi="Times New Roman"/>
          <w:color w:val="000000"/>
        </w:rPr>
        <w:t>Advised Momenta on multiple rounds of financing and business cooperation with institutional financial investors and industrial strategic investors.</w:t>
      </w:r>
    </w:p>
    <w:p w14:paraId="4D85B803" w14:textId="77777777" w:rsidR="00082D72" w:rsidRDefault="00082D72" w:rsidP="00082D72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82D72">
        <w:rPr>
          <w:rFonts w:ascii="等线" w:eastAsia="等线" w:hAnsi="Times New Roman"/>
          <w:color w:val="000000"/>
        </w:rPr>
        <w:t>Advised Momenta on its investments in ZERON Auto, Xiangdao Mobility and GenRobot AI.</w:t>
      </w:r>
    </w:p>
    <w:p w14:paraId="283DD13C" w14:textId="77777777" w:rsidR="00082D72" w:rsidRDefault="00082D72" w:rsidP="00082D72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82D72">
        <w:rPr>
          <w:rFonts w:ascii="等线" w:eastAsia="等线" w:hAnsi="Times New Roman"/>
          <w:color w:val="000000"/>
        </w:rPr>
        <w:t>Advised Pony AI on multiple rounds of financing and business cooperation with institutional financial investors and industrial strategic investors.</w:t>
      </w:r>
    </w:p>
    <w:p w14:paraId="3EE62D17" w14:textId="77777777" w:rsidR="00082D72" w:rsidRDefault="00082D72" w:rsidP="00082D72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82D72">
        <w:rPr>
          <w:rFonts w:ascii="等线" w:eastAsia="等线" w:hAnsi="Times New Roman"/>
          <w:color w:val="000000"/>
        </w:rPr>
        <w:t>Advised ByteDance on the divestiture of Tuchong and multiple computer game projects.</w:t>
      </w:r>
    </w:p>
    <w:p w14:paraId="1E8712A0" w14:textId="77777777" w:rsidR="00082D72" w:rsidRDefault="00082D72" w:rsidP="00082D72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82D72">
        <w:rPr>
          <w:rFonts w:ascii="等线" w:eastAsia="等线" w:hAnsi="Times New Roman"/>
          <w:color w:val="000000"/>
        </w:rPr>
        <w:t>Advised Warburg Pincus on its acquisition of Leyou Group.</w:t>
      </w:r>
    </w:p>
    <w:p w14:paraId="7000B6D0" w14:textId="77777777" w:rsidR="00082D72" w:rsidRDefault="00082D72" w:rsidP="00082D72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82D72">
        <w:rPr>
          <w:rFonts w:ascii="等线" w:eastAsia="等线" w:hAnsi="Times New Roman"/>
          <w:color w:val="000000"/>
        </w:rPr>
        <w:t>Advised Hillhouse Capital, SoftBank Vision Fund, IDG Capital, Gaorong Capital, ZhenFund, Northern Light Venture Capital, Source Code Capital, Lightspeed, FountainVest, Eight Roads, Tianshan Capital across a broad portfolio of investment and M&amp;A transactions.</w:t>
      </w:r>
    </w:p>
    <w:p w14:paraId="62517524" w14:textId="77777777" w:rsidR="00082D72" w:rsidRDefault="00082D72" w:rsidP="00082D7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82D72">
        <w:rPr>
          <w:rFonts w:ascii="等线" w:eastAsia="等线" w:hAnsi="等线"/>
          <w:b/>
          <w:sz w:val="24"/>
        </w:rPr>
        <w:t>Education</w:t>
      </w:r>
    </w:p>
    <w:p w14:paraId="7EBA7CEF" w14:textId="77777777" w:rsidR="00082D72" w:rsidRDefault="00082D72" w:rsidP="00082D72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82D72">
        <w:rPr>
          <w:rFonts w:ascii="等线" w:eastAsia="等线" w:hAnsi="Times New Roman"/>
          <w:color w:val="000000"/>
        </w:rPr>
        <w:t>Renmin University of China, School of Law, LL.B 2014</w:t>
      </w:r>
    </w:p>
    <w:p w14:paraId="26C0F7CA" w14:textId="77777777" w:rsidR="00082D72" w:rsidRDefault="00082D72" w:rsidP="00082D72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82D72">
        <w:rPr>
          <w:rFonts w:ascii="等线" w:eastAsia="等线" w:hAnsi="Times New Roman"/>
          <w:color w:val="000000"/>
        </w:rPr>
        <w:t>Vanderbilt University Law School, LL.M 2015</w:t>
      </w:r>
    </w:p>
    <w:p w14:paraId="3520A2A4" w14:textId="77777777" w:rsidR="00082D72" w:rsidRDefault="00082D72" w:rsidP="00082D7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82D72">
        <w:rPr>
          <w:rFonts w:ascii="等线" w:eastAsia="等线" w:hAnsi="等线"/>
          <w:b/>
          <w:sz w:val="24"/>
        </w:rPr>
        <w:t>Professional Qualification</w:t>
      </w:r>
    </w:p>
    <w:p w14:paraId="055F27A9" w14:textId="77777777" w:rsidR="00082D72" w:rsidRDefault="00082D72" w:rsidP="00082D72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82D72">
        <w:rPr>
          <w:rFonts w:ascii="等线" w:eastAsia="等线" w:hAnsi="Times New Roman"/>
          <w:color w:val="000000"/>
        </w:rPr>
        <w:t>Admitted to practice in the PRC</w:t>
      </w:r>
    </w:p>
    <w:p w14:paraId="4EBA0070" w14:textId="77777777" w:rsidR="00082D72" w:rsidRDefault="00082D72" w:rsidP="00082D72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82D72">
        <w:rPr>
          <w:rFonts w:ascii="等线" w:eastAsia="等线" w:hAnsi="Times New Roman"/>
          <w:color w:val="000000"/>
        </w:rPr>
        <w:t>Admitted to practice in New York (non-practicing)</w:t>
      </w:r>
    </w:p>
    <w:p w14:paraId="091FF345" w14:textId="77777777" w:rsidR="00082D72" w:rsidRDefault="00082D72" w:rsidP="00082D7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82D72">
        <w:rPr>
          <w:rFonts w:ascii="等线" w:eastAsia="等线" w:hAnsi="等线"/>
          <w:b/>
          <w:sz w:val="24"/>
        </w:rPr>
        <w:t>Work Language</w:t>
      </w:r>
    </w:p>
    <w:p w14:paraId="58E2B2E3" w14:textId="77777777" w:rsidR="00082D72" w:rsidRDefault="00082D72" w:rsidP="00082D72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82D72">
        <w:rPr>
          <w:rFonts w:ascii="等线" w:eastAsia="等线" w:hAnsi="Times New Roman"/>
          <w:color w:val="000000"/>
        </w:rPr>
        <w:t>Chinese</w:t>
      </w:r>
    </w:p>
    <w:p w14:paraId="27795536" w14:textId="77777777" w:rsidR="00082D72" w:rsidRDefault="00082D72" w:rsidP="00082D72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82D72">
        <w:rPr>
          <w:rFonts w:ascii="等线" w:eastAsia="等线" w:hAnsi="Times New Roman"/>
          <w:color w:val="000000"/>
        </w:rPr>
        <w:t>English</w:t>
      </w:r>
    </w:p>
    <w:p w14:paraId="4D325F21" w14:textId="77777777" w:rsidR="00082D72" w:rsidRDefault="00082D72" w:rsidP="00082D7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82D72">
        <w:rPr>
          <w:rFonts w:ascii="等线" w:eastAsia="等线" w:hAnsi="等线"/>
          <w:b/>
          <w:sz w:val="24"/>
        </w:rPr>
        <w:t>Professional Background</w:t>
      </w:r>
    </w:p>
    <w:p w14:paraId="5567FC3C" w14:textId="20785BF1" w:rsidR="00686369" w:rsidRPr="00082D72" w:rsidRDefault="00082D72" w:rsidP="00082D72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82D72">
        <w:rPr>
          <w:rFonts w:ascii="等线" w:eastAsia="等线" w:hAnsi="Times New Roman"/>
          <w:color w:val="000000"/>
        </w:rPr>
        <w:t>Ms. Hua joined Fangda in 2021. Prior to joining the firm, she worked at other leading Chinese law firms.</w:t>
      </w:r>
    </w:p>
    <w:sectPr w:rsidR="00686369" w:rsidRPr="00082D72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A65D3B"/>
    <w:multiLevelType w:val="singleLevel"/>
    <w:tmpl w:val="AA9CD4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DE66825"/>
    <w:multiLevelType w:val="singleLevel"/>
    <w:tmpl w:val="C6A41A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E6E4AB9"/>
    <w:multiLevelType w:val="singleLevel"/>
    <w:tmpl w:val="B5C871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F7B2580"/>
    <w:multiLevelType w:val="singleLevel"/>
    <w:tmpl w:val="D57C6EE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ADD4A9C"/>
    <w:multiLevelType w:val="singleLevel"/>
    <w:tmpl w:val="05DE95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00236B6"/>
    <w:multiLevelType w:val="singleLevel"/>
    <w:tmpl w:val="88D6F9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16F4BC7"/>
    <w:multiLevelType w:val="singleLevel"/>
    <w:tmpl w:val="0C02E2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3EE283D"/>
    <w:multiLevelType w:val="singleLevel"/>
    <w:tmpl w:val="62C220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9" w15:restartNumberingAfterBreak="0">
    <w:nsid w:val="35FC49F3"/>
    <w:multiLevelType w:val="singleLevel"/>
    <w:tmpl w:val="8690C5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906571F"/>
    <w:multiLevelType w:val="singleLevel"/>
    <w:tmpl w:val="574434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AC27146"/>
    <w:multiLevelType w:val="singleLevel"/>
    <w:tmpl w:val="81AE8D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3" w15:restartNumberingAfterBreak="0">
    <w:nsid w:val="4594067C"/>
    <w:multiLevelType w:val="singleLevel"/>
    <w:tmpl w:val="F402B6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5248599A"/>
    <w:multiLevelType w:val="singleLevel"/>
    <w:tmpl w:val="D2E42A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576219BF"/>
    <w:multiLevelType w:val="singleLevel"/>
    <w:tmpl w:val="88D6F9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58283977"/>
    <w:multiLevelType w:val="singleLevel"/>
    <w:tmpl w:val="82D8F8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5A2B7884"/>
    <w:multiLevelType w:val="singleLevel"/>
    <w:tmpl w:val="96FCBF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666D3BF2"/>
    <w:multiLevelType w:val="singleLevel"/>
    <w:tmpl w:val="9042D4F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6E9F0C32"/>
    <w:multiLevelType w:val="singleLevel"/>
    <w:tmpl w:val="CF381F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8"/>
  </w:num>
  <w:num w:numId="2">
    <w:abstractNumId w:val="12"/>
  </w:num>
  <w:num w:numId="3">
    <w:abstractNumId w:val="6"/>
  </w:num>
  <w:num w:numId="4">
    <w:abstractNumId w:val="1"/>
  </w:num>
  <w:num w:numId="5">
    <w:abstractNumId w:val="9"/>
  </w:num>
  <w:num w:numId="6">
    <w:abstractNumId w:val="13"/>
  </w:num>
  <w:num w:numId="7">
    <w:abstractNumId w:val="16"/>
  </w:num>
  <w:num w:numId="8">
    <w:abstractNumId w:val="4"/>
  </w:num>
  <w:num w:numId="9">
    <w:abstractNumId w:val="18"/>
  </w:num>
  <w:num w:numId="10">
    <w:abstractNumId w:val="2"/>
  </w:num>
  <w:num w:numId="11">
    <w:abstractNumId w:val="11"/>
  </w:num>
  <w:num w:numId="12">
    <w:abstractNumId w:val="0"/>
  </w:num>
  <w:num w:numId="13">
    <w:abstractNumId w:val="17"/>
  </w:num>
  <w:num w:numId="14">
    <w:abstractNumId w:val="3"/>
  </w:num>
  <w:num w:numId="15">
    <w:abstractNumId w:val="7"/>
  </w:num>
  <w:num w:numId="16">
    <w:abstractNumId w:val="10"/>
  </w:num>
  <w:num w:numId="17">
    <w:abstractNumId w:val="14"/>
  </w:num>
  <w:num w:numId="18">
    <w:abstractNumId w:val="19"/>
  </w:num>
  <w:num w:numId="19">
    <w:abstractNumId w:val="15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2D72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082D72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082D72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D3AD7B6-7F0D-42C9-AE64-CF41B934A9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305</Words>
  <Characters>1744</Characters>
  <Application>Microsoft Office Word</Application>
  <DocSecurity>0</DocSecurity>
  <Lines>14</Lines>
  <Paragraphs>4</Paragraphs>
  <ScaleCrop>false</ScaleCrop>
  <Company/>
  <LinksUpToDate>false</LinksUpToDate>
  <CharactersWithSpaces>2045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2026-07-16T11:10:00Z</dcterms:created>
  <dcterms:modified xsi:type="dcterms:W3CDTF">2026-07-16T11:10:00Z</dcterms:modified>
</cp:coreProperties>
</file>